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2.0 (Apache licensed) using ECLIPSELINK_MOXy JAXB in Oracle Java 1.8.0_161 on Linux -->
    <w:p w:rsidR="00451CC4" w:rsidP="00C6750B" w:rsidRDefault="00C6750B">
      <w:pPr>
        <w:pStyle w:val="Heading1"/>
      </w:pPr>
      <w:r>
        <w:t>WOMEN IN THE VICTORIAN PRISON SYSTEM</w:t>
      </w:r>
    </w:p>
    <w:p w:rsidRPr="007B1B01" w:rsidR="00C6750B" w:rsidP="00C6750B" w:rsidRDefault="00C6750B">
      <w:r w:rsidRPr="007B1B01">
        <w:t>Contents</w:t>
      </w:r>
      <w:r w:rsidRPr="007B1B01" w:rsidR="003C78C7">
        <w:t xml:space="preserve"> pg.1</w:t>
      </w:r>
    </w:p>
    <w:p w:rsidRPr="007B1B01" w:rsidR="00C6750B" w:rsidP="00C6750B" w:rsidRDefault="00C6750B">
      <w:r w:rsidRPr="007B1B01">
        <w:t>Overview</w:t>
      </w:r>
      <w:r w:rsidRPr="007B1B01" w:rsidR="003C78C7">
        <w:t xml:space="preserve"> pg.2</w:t>
      </w:r>
    </w:p>
    <w:p w:rsidRPr="007B1B01" w:rsidR="00C6750B" w:rsidP="00C6750B" w:rsidRDefault="00C6750B">
      <w:r w:rsidRPr="007B1B01">
        <w:t>Key statistics – women prisoners</w:t>
      </w:r>
      <w:r w:rsidRPr="007B1B01" w:rsidR="003C78C7">
        <w:t xml:space="preserve"> pg.2</w:t>
      </w:r>
    </w:p>
    <w:p w:rsidRPr="007B1B01" w:rsidR="00C6750B" w:rsidP="00C6750B" w:rsidRDefault="00C6750B">
      <w:r w:rsidRPr="007B1B01">
        <w:t>A snapshot of women in Victorian prisons</w:t>
      </w:r>
      <w:r w:rsidRPr="007B1B01" w:rsidR="003C78C7">
        <w:t xml:space="preserve"> pg.3</w:t>
      </w:r>
    </w:p>
    <w:p w:rsidRPr="007B1B01" w:rsidR="00C6750B" w:rsidP="00C6750B" w:rsidRDefault="00C6750B">
      <w:r w:rsidRPr="007B1B01">
        <w:t>Women entering prison</w:t>
      </w:r>
      <w:r w:rsidRPr="007B1B01" w:rsidR="003C78C7">
        <w:t xml:space="preserve"> pg.5</w:t>
      </w:r>
    </w:p>
    <w:p w:rsidRPr="007B1B01" w:rsidR="00C6750B" w:rsidP="00C6750B" w:rsidRDefault="00C6750B">
      <w:r w:rsidRPr="007B1B01">
        <w:t>Key issues facing women on remand</w:t>
      </w:r>
      <w:r w:rsidRPr="007B1B01" w:rsidR="003C78C7">
        <w:t xml:space="preserve"> pg.6</w:t>
      </w:r>
    </w:p>
    <w:p w:rsidR="00C6750B" w:rsidP="00C6750B" w:rsidRDefault="00C6750B">
      <w:r w:rsidRPr="007B1B01">
        <w:t xml:space="preserve">Outcomes of women’s remand episodes </w:t>
      </w:r>
      <w:r w:rsidRPr="007B1B01" w:rsidR="003C78C7">
        <w:t>pg.9</w:t>
      </w:r>
    </w:p>
    <w:p w:rsidR="00C6750B" w:rsidP="00C6750B" w:rsidRDefault="00C6750B"/>
    <w:p w:rsidR="004C0941" w:rsidP="004C0941" w:rsidRDefault="004C0941">
      <w:r>
        <w:t>Authorised and published by the Depa</w:t>
      </w:r>
      <w:r w:rsidR="008173DA">
        <w:t>rtment of Justice and Community Safety</w:t>
      </w:r>
      <w:r>
        <w:t xml:space="preserve"> - Corrections Victoria, 121 Exhibition St, Melbourne.</w:t>
      </w:r>
    </w:p>
    <w:p w:rsidR="004C0941" w:rsidP="004C0941" w:rsidRDefault="008173DA">
      <w:r>
        <w:t>January 2019</w:t>
      </w:r>
    </w:p>
    <w:p w:rsidR="004C0941" w:rsidP="004C0941" w:rsidRDefault="004C0941">
      <w:r>
        <w:t>ISBN 978-1-925549-92-8 (pdf/online/MS word)</w:t>
      </w:r>
    </w:p>
    <w:p w:rsidR="004C0941" w:rsidP="004C0941" w:rsidRDefault="004C0941">
      <w:r>
        <w:t>Unless indicated otherwise, content in this publication is provided under a C</w:t>
      </w:r>
      <w:bookmarkStart w:id="0" w:name="_GoBack"/>
      <w:bookmarkEnd w:id="0"/>
      <w:r>
        <w:t>reative Commons Attribution 3.0 Australia Licence. To view a copy of this licence, visit creativecommons.org/licenses/ by/3.0/au It is a condition of the Creative Commons Attribution 3.0 Licence that you must give credit to the original author who is the State of Victoria.</w:t>
      </w:r>
    </w:p>
    <w:p w:rsidR="004C0941" w:rsidP="004C0941" w:rsidRDefault="004C0941">
      <w:r>
        <w:t xml:space="preserve">For further information please contact: Department of Justice and </w:t>
      </w:r>
      <w:r w:rsidR="008173DA">
        <w:t>Community Safety</w:t>
      </w:r>
      <w:r>
        <w:t xml:space="preserve"> – Corrections Victoria, email: corrections@justice.vic.gov.au.</w:t>
      </w:r>
    </w:p>
    <w:p w:rsidR="004C0941" w:rsidP="004C0941" w:rsidRDefault="004C0941">
      <w:r>
        <w:t xml:space="preserve">Published online at </w:t>
      </w:r>
      <w:r w:rsidRPr="00CC07A1">
        <w:rPr>
          <w:rStyle w:val="Hyperlink"/>
        </w:rPr>
        <w:t>www.corrections.vic.gov.au</w:t>
      </w:r>
    </w:p>
    <w:p w:rsidR="00C6750B" w:rsidP="00C6750B" w:rsidRDefault="004C0941">
      <w:r>
        <w:br w:type="page"/>
      </w:r>
      <w:r w:rsidR="00C6750B">
        <w:lastRenderedPageBreak/>
        <w:t>This paper provides insights into both current and emerging issues for the female prison population in Victoria. Findings presented can be used to shape policy and program development to better meet the complex needs of this cohort.</w:t>
      </w:r>
    </w:p>
    <w:p w:rsidR="00C6750B" w:rsidP="00C6750B" w:rsidRDefault="00C6750B">
      <w:pPr>
        <w:pStyle w:val="Heading1"/>
      </w:pPr>
      <w:r>
        <w:t>OVERVIEW</w:t>
      </w:r>
    </w:p>
    <w:p w:rsidR="00C6750B" w:rsidP="00C6750B" w:rsidRDefault="00C6750B">
      <w:r>
        <w:t>The number of women in Victoria’s prisons has increased dramatically over the past five years to 2017. This is largely due to the rising number of women being remanded (also known as unsentenced prisoners) for short periods of time, many of whom are subsequently released on bail or to a non-custodial sentence.</w:t>
      </w:r>
    </w:p>
    <w:p w:rsidR="00C6750B" w:rsidP="00C6750B" w:rsidRDefault="00C6750B">
      <w:r>
        <w:t>Corrections Victoria undertakes regular surveys to guide its service response for people in prison. Two recent surveys have been drawn on to inform this paper: one of both male and female prisoners around family violence, and the other a regular collection of information relating to the circumstances of women prior to entering prison on remand. This survey includes information on housing instability and drug use among female prisoners, and the personal circumstances of these women that may act as barriers to accessing bail.</w:t>
      </w:r>
    </w:p>
    <w:p w:rsidR="00C6750B" w:rsidP="00C6750B" w:rsidRDefault="00C6750B">
      <w:r>
        <w:t>These surveys show that female prisoners frequently report histories of family violence, high rates of housing instability and substance abuse that are often inter-related. Responding to this level of complexity in women’s lives requires an approach that addresses these issues in an integrated fashion.</w:t>
      </w:r>
    </w:p>
    <w:p w:rsidR="00C6750B" w:rsidP="00C6750B" w:rsidRDefault="00C6750B">
      <w:pPr>
        <w:pStyle w:val="Heading2"/>
      </w:pPr>
      <w:r>
        <w:t>IMPLICATIONS FOR SERVICE DELIVERY</w:t>
      </w:r>
    </w:p>
    <w:p w:rsidR="00C6750B" w:rsidP="00C6750B" w:rsidRDefault="00C6750B">
      <w:r>
        <w:t>Female prisoners present with a unique profile and set of needs. A clear understanding of the extent of trauma and instability in their lives is critical for the corrections system to provide appropriate and effective services.</w:t>
      </w:r>
    </w:p>
    <w:p w:rsidR="00C6750B" w:rsidP="00C6750B" w:rsidRDefault="00C6750B">
      <w:r>
        <w:t xml:space="preserve">To address these multiple and complex needs, Corrections Victoria has developed </w:t>
      </w:r>
      <w:r w:rsidRPr="00C6750B">
        <w:rPr>
          <w:i/>
        </w:rPr>
        <w:t>Strengthening Connections,</w:t>
      </w:r>
      <w:r>
        <w:t xml:space="preserve"> its new women’s policy.</w:t>
      </w:r>
    </w:p>
    <w:p w:rsidR="00C6750B" w:rsidP="00C6750B" w:rsidRDefault="00C6750B">
      <w:r>
        <w:t>The policy acknowledges that there are issues that are distinctive to women, including:</w:t>
      </w:r>
    </w:p>
    <w:p w:rsidR="00C6750B" w:rsidP="00C6750B" w:rsidRDefault="00C6750B">
      <w:pPr>
        <w:numPr>
          <w:ilvl w:val="0"/>
          <w:numId w:val="15"/>
        </w:numPr>
      </w:pPr>
      <w:r>
        <w:t>the role that personal relationships, victimisation and trauma have in contributing to women’s offending;</w:t>
      </w:r>
    </w:p>
    <w:p w:rsidR="00C6750B" w:rsidP="00C6750B" w:rsidRDefault="00C6750B">
      <w:pPr>
        <w:numPr>
          <w:ilvl w:val="0"/>
          <w:numId w:val="15"/>
        </w:numPr>
      </w:pPr>
      <w:r>
        <w:t>women’s complex and varied health needs (including chronic conditions and mental health concerns); and</w:t>
      </w:r>
    </w:p>
    <w:p w:rsidR="00C6750B" w:rsidP="00C6750B" w:rsidRDefault="00C6750B">
      <w:pPr>
        <w:numPr>
          <w:ilvl w:val="0"/>
          <w:numId w:val="15"/>
        </w:numPr>
      </w:pPr>
      <w:r>
        <w:t>the extent to which substance abuse links with women’s offending and reflects past victimisation and trauma.</w:t>
      </w:r>
    </w:p>
    <w:p w:rsidR="00C6750B" w:rsidP="00C6750B" w:rsidRDefault="00C6750B"/>
    <w:p w:rsidR="00C6750B" w:rsidP="00C6750B" w:rsidRDefault="00C6750B">
      <w:pPr>
        <w:pStyle w:val="Heading1"/>
      </w:pPr>
      <w:r w:rsidRPr="00C6750B">
        <w:t>KEY STATISTICS – WOMEN PRISONERS</w:t>
      </w:r>
    </w:p>
    <w:p w:rsidR="00C6750B" w:rsidP="00C6750B" w:rsidRDefault="00C6750B">
      <w:pPr>
        <w:pStyle w:val="Heading2"/>
      </w:pPr>
      <w:r w:rsidRPr="00C6750B">
        <w:t>WOMEN IN PRISON AS AT 30 JUNE 2017</w:t>
      </w:r>
    </w:p>
    <w:p w:rsidR="00C6750B" w:rsidP="00C6750B" w:rsidRDefault="00C6750B">
      <w:pPr>
        <w:rPr>
          <w:b/>
        </w:rPr>
      </w:pPr>
      <w:r w:rsidRPr="00C6750B">
        <w:rPr>
          <w:b/>
        </w:rPr>
        <w:t>There were 507 female prisoners in Victorian prisons at the end of June 2017, and female prisoners made up 7% of the total Victorian prison population</w:t>
      </w:r>
    </w:p>
    <w:p w:rsidRPr="008C1A95" w:rsidR="008C1A95" w:rsidP="00C6750B" w:rsidRDefault="008C1A95">
      <w:r w:rsidRPr="008C1A95">
        <w:t>Of these women:</w:t>
      </w:r>
    </w:p>
    <w:p w:rsidR="00C6750B" w:rsidP="00C6750B" w:rsidRDefault="00C6750B">
      <w:pPr>
        <w:numPr>
          <w:ilvl w:val="0"/>
          <w:numId w:val="16"/>
        </w:numPr>
      </w:pPr>
      <w:r w:rsidRPr="00C6750B">
        <w:lastRenderedPageBreak/>
        <w:t xml:space="preserve">11% </w:t>
      </w:r>
      <w:r>
        <w:t>were Aboriginal and Torres Strait Islander</w:t>
      </w:r>
    </w:p>
    <w:p w:rsidR="00C6750B" w:rsidP="00C6750B" w:rsidRDefault="00C6750B">
      <w:pPr>
        <w:numPr>
          <w:ilvl w:val="0"/>
          <w:numId w:val="16"/>
        </w:numPr>
      </w:pPr>
      <w:r>
        <w:t>39% of female prisoners were on remand</w:t>
      </w:r>
    </w:p>
    <w:p w:rsidR="00C6750B" w:rsidP="00C6750B" w:rsidRDefault="00C6750B">
      <w:pPr>
        <w:numPr>
          <w:ilvl w:val="0"/>
          <w:numId w:val="16"/>
        </w:numPr>
      </w:pPr>
      <w:r>
        <w:t>Their average age was 37</w:t>
      </w:r>
    </w:p>
    <w:p w:rsidR="00C6750B" w:rsidP="00C6750B" w:rsidRDefault="00C6750B">
      <w:pPr>
        <w:numPr>
          <w:ilvl w:val="0"/>
          <w:numId w:val="16"/>
        </w:numPr>
      </w:pPr>
      <w:r>
        <w:t>48% received a sentence of between one and five years</w:t>
      </w:r>
    </w:p>
    <w:p w:rsidR="00C6750B" w:rsidP="00C6750B" w:rsidRDefault="00C6750B">
      <w:pPr>
        <w:numPr>
          <w:ilvl w:val="0"/>
          <w:numId w:val="16"/>
        </w:numPr>
      </w:pPr>
      <w:r>
        <w:t>37% were known to have been in an adult prison (under sentence) before</w:t>
      </w:r>
    </w:p>
    <w:p w:rsidR="00C6750B" w:rsidP="00C6750B" w:rsidRDefault="00C6750B">
      <w:pPr>
        <w:numPr>
          <w:ilvl w:val="0"/>
          <w:numId w:val="16"/>
        </w:numPr>
      </w:pPr>
      <w:r>
        <w:t>22% had drug offences as their most serious charge/ offence, followed by assault (18.7%) and property offences other than burglary (12.2%) (other property offences includes arson, criminal/property damage, handling stolen goods, other theft, possess firearms, receiving, shoplifting, theft of motor vehicle, and unlawful possession of stolen goods)</w:t>
      </w:r>
    </w:p>
    <w:p w:rsidR="00C6750B" w:rsidP="00C6750B" w:rsidRDefault="00C6750B"/>
    <w:p w:rsidR="00C6750B" w:rsidP="00C6750B" w:rsidRDefault="00C6750B">
      <w:pPr>
        <w:pStyle w:val="Heading2"/>
      </w:pPr>
      <w:r>
        <w:t>WOMEN ENTERING PRISON ON REMAND – 2017</w:t>
      </w:r>
    </w:p>
    <w:p w:rsidR="00C6750B" w:rsidP="00C6750B" w:rsidRDefault="00C6750B">
      <w:pPr>
        <w:numPr>
          <w:ilvl w:val="0"/>
          <w:numId w:val="17"/>
        </w:numPr>
      </w:pPr>
      <w:r>
        <w:t>88% of all women entering prison were received into prison on remand</w:t>
      </w:r>
    </w:p>
    <w:p w:rsidR="00C6750B" w:rsidP="00C6750B" w:rsidRDefault="00C6750B">
      <w:pPr>
        <w:numPr>
          <w:ilvl w:val="0"/>
          <w:numId w:val="17"/>
        </w:numPr>
      </w:pPr>
      <w:r>
        <w:t>17% were Aboriginal and Torres Strait Islander</w:t>
      </w:r>
    </w:p>
    <w:p w:rsidR="00C6750B" w:rsidP="00C6750B" w:rsidRDefault="00C6750B">
      <w:pPr>
        <w:numPr>
          <w:ilvl w:val="0"/>
          <w:numId w:val="17"/>
        </w:numPr>
      </w:pPr>
      <w:r>
        <w:t>18% were aged under 25</w:t>
      </w:r>
    </w:p>
    <w:p w:rsidR="00C6750B" w:rsidP="00C6750B" w:rsidRDefault="00C6750B">
      <w:pPr>
        <w:numPr>
          <w:ilvl w:val="0"/>
          <w:numId w:val="17"/>
        </w:numPr>
      </w:pPr>
      <w:r>
        <w:t>63% were charged with burglary (15%), other property offences (28%) and drug offences (20%)</w:t>
      </w:r>
    </w:p>
    <w:p w:rsidR="00C6750B" w:rsidP="00C6750B" w:rsidRDefault="00C6750B">
      <w:pPr>
        <w:numPr>
          <w:ilvl w:val="0"/>
          <w:numId w:val="17"/>
        </w:numPr>
      </w:pPr>
      <w:r>
        <w:t>69% had children (21% of these women were primary carers before entering prison)</w:t>
      </w:r>
    </w:p>
    <w:p w:rsidR="00C6750B" w:rsidP="00C6750B" w:rsidRDefault="00C6750B"/>
    <w:p w:rsidR="00C6750B" w:rsidP="00C6750B" w:rsidRDefault="00C6750B">
      <w:pPr>
        <w:pStyle w:val="Heading2"/>
      </w:pPr>
      <w:r>
        <w:t>KEY ISSUES (women received on remand between 2015 and 2016)</w:t>
      </w:r>
    </w:p>
    <w:p w:rsidR="00C6750B" w:rsidP="00C6750B" w:rsidRDefault="00C6750B">
      <w:pPr>
        <w:numPr>
          <w:ilvl w:val="0"/>
          <w:numId w:val="18"/>
        </w:numPr>
      </w:pPr>
      <w:r>
        <w:t>26% reported experiencing homelessness or housing instability prior to entering prison custody</w:t>
      </w:r>
    </w:p>
    <w:p w:rsidR="00C6750B" w:rsidP="00C6750B" w:rsidRDefault="00C6750B">
      <w:pPr>
        <w:numPr>
          <w:ilvl w:val="0"/>
          <w:numId w:val="18"/>
        </w:numPr>
      </w:pPr>
      <w:r>
        <w:t>61% reported using drugs daily prior to entering prison</w:t>
      </w:r>
    </w:p>
    <w:p w:rsidR="00C6750B" w:rsidP="00C6750B" w:rsidRDefault="00C6750B">
      <w:pPr>
        <w:numPr>
          <w:ilvl w:val="0"/>
          <w:numId w:val="18"/>
        </w:numPr>
      </w:pPr>
      <w:r>
        <w:t xml:space="preserve">51% had not applied for bail </w:t>
      </w:r>
    </w:p>
    <w:p w:rsidR="00C6750B" w:rsidP="00C6750B" w:rsidRDefault="00C6750B">
      <w:pPr>
        <w:numPr>
          <w:ilvl w:val="0"/>
          <w:numId w:val="18"/>
        </w:numPr>
      </w:pPr>
      <w:r>
        <w:t>65% reported being a victim of family violence</w:t>
      </w:r>
    </w:p>
    <w:p w:rsidR="00A717B5" w:rsidP="00A717B5" w:rsidRDefault="00A717B5"/>
    <w:p w:rsidR="00A717B5" w:rsidP="00A717B5" w:rsidRDefault="00A717B5">
      <w:pPr>
        <w:pStyle w:val="Heading1"/>
      </w:pPr>
      <w:r>
        <w:t>A SNAPSHOT OF WOMEN IN VICTORIAN PRISONS</w:t>
      </w:r>
    </w:p>
    <w:p w:rsidR="00A717B5" w:rsidP="00A717B5" w:rsidRDefault="00A717B5">
      <w:r>
        <w:t>As at 30 June 2017, women prisoners represented seven per cent (507 prisoners) of the total Victorian prison population. Aboriginal and Torres Strait Islander prisoners made up 11 per cent of the female prison population, compared with eight per cent of the male population.</w:t>
      </w:r>
    </w:p>
    <w:p w:rsidR="00A717B5" w:rsidP="00A717B5" w:rsidRDefault="00A717B5">
      <w:pPr>
        <w:pStyle w:val="Heading2"/>
      </w:pPr>
      <w:r>
        <w:lastRenderedPageBreak/>
        <w:t>More women are in prison on remand</w:t>
      </w:r>
    </w:p>
    <w:p w:rsidR="00A717B5" w:rsidP="00A717B5" w:rsidRDefault="00A717B5">
      <w:r>
        <w:t>The number of women in Victoria’s prison system has grown rapidly over the past five years, rising from 340 women on 30 June 2012 to 507 on 30 June 2017 (an increase of 49 per cent). During this period, the number of men in prison increased by 46 per cent, from 4,544 to 6,644.</w:t>
      </w:r>
    </w:p>
    <w:p w:rsidR="00A717B5" w:rsidP="00A717B5" w:rsidRDefault="00A717B5">
      <w:r>
        <w:t>The increase in the number of female prisoners has been largely driven by more women being held on remand, which has increased both in absolute numbers and as a proportion of the female prisoner population. The proportion of female prisoners who were unsentenced increased from 23 per cent to 39 per cent between 2012 and 2017, and the proportion of male prisoners who were unsentenced increased from 20 per cent to 31 per cent over the same period.</w:t>
      </w:r>
    </w:p>
    <w:p w:rsidRPr="00A717B5" w:rsidR="00A717B5" w:rsidP="00A717B5" w:rsidRDefault="00A717B5">
      <w:pPr>
        <w:rPr>
          <w:b/>
        </w:rPr>
      </w:pPr>
      <w:r w:rsidRPr="00A717B5">
        <w:rPr>
          <w:b/>
        </w:rPr>
        <w:t>Proportion of total male and female prison populations who are unsentenced at 30 June, 2012 to 2017</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Proportion of total male and female prison populations who are unsentenced at 30 June, 2012 to 2017"/>
      </w:tblPr>
      <w:tblGrid>
        <w:gridCol w:w="1137"/>
        <w:gridCol w:w="4526"/>
        <w:gridCol w:w="3965"/>
      </w:tblGrid>
      <w:tr w:rsidRPr="00331551" w:rsidR="00A717B5" w:rsidTr="00331551">
        <w:trPr>
          <w:tblHeader/>
        </w:trPr>
        <w:tc>
          <w:tcPr>
            <w:tcW w:w="1139" w:type="dxa"/>
            <w:shd w:val="clear" w:color="auto" w:fill="auto"/>
          </w:tcPr>
          <w:p w:rsidRPr="00BD72B8" w:rsidR="00A717B5" w:rsidP="00331551" w:rsidRDefault="00A717B5">
            <w:pPr>
              <w:spacing w:before="0" w:after="0"/>
              <w:jc w:val="center"/>
              <w:rPr>
                <w:b/>
                <w:szCs w:val="20"/>
              </w:rPr>
            </w:pPr>
            <w:r w:rsidRPr="00BD72B8">
              <w:rPr>
                <w:b/>
                <w:szCs w:val="20"/>
              </w:rPr>
              <w:t>Year</w:t>
            </w:r>
          </w:p>
        </w:tc>
        <w:tc>
          <w:tcPr>
            <w:tcW w:w="4536" w:type="dxa"/>
            <w:shd w:val="clear" w:color="auto" w:fill="auto"/>
          </w:tcPr>
          <w:p w:rsidRPr="00BD72B8" w:rsidR="00A717B5" w:rsidP="00331551" w:rsidRDefault="00A717B5">
            <w:pPr>
              <w:spacing w:before="0" w:after="0"/>
              <w:jc w:val="center"/>
              <w:rPr>
                <w:b/>
                <w:szCs w:val="20"/>
              </w:rPr>
            </w:pPr>
            <w:r w:rsidRPr="00BD72B8">
              <w:rPr>
                <w:b/>
                <w:szCs w:val="20"/>
              </w:rPr>
              <w:t>Unsentenced female (proportion of female population)</w:t>
            </w:r>
          </w:p>
        </w:tc>
        <w:tc>
          <w:tcPr>
            <w:tcW w:w="3973" w:type="dxa"/>
            <w:shd w:val="clear" w:color="auto" w:fill="auto"/>
          </w:tcPr>
          <w:p w:rsidRPr="00BD72B8" w:rsidR="00A717B5" w:rsidP="00331551" w:rsidRDefault="00A717B5">
            <w:pPr>
              <w:spacing w:before="0" w:after="0"/>
              <w:jc w:val="center"/>
              <w:rPr>
                <w:b/>
                <w:szCs w:val="20"/>
              </w:rPr>
            </w:pPr>
            <w:r w:rsidRPr="00BD72B8">
              <w:rPr>
                <w:rFonts w:cs="VIC"/>
                <w:b/>
                <w:color w:val="000000"/>
                <w:szCs w:val="20"/>
              </w:rPr>
              <w:t>Unsentenced male (proportion of male population)</w:t>
            </w:r>
          </w:p>
        </w:tc>
      </w:tr>
      <w:tr w:rsidRPr="00331551" w:rsidR="00A717B5" w:rsidTr="00331551">
        <w:tc>
          <w:tcPr>
            <w:tcW w:w="1139" w:type="dxa"/>
            <w:shd w:val="clear" w:color="auto" w:fill="auto"/>
          </w:tcPr>
          <w:p w:rsidRPr="00331551" w:rsidR="00A717B5" w:rsidP="00331551" w:rsidRDefault="00A717B5">
            <w:pPr>
              <w:spacing w:before="0" w:after="0"/>
              <w:jc w:val="center"/>
              <w:rPr>
                <w:sz w:val="20"/>
                <w:szCs w:val="20"/>
              </w:rPr>
            </w:pPr>
            <w:r w:rsidRPr="00331551">
              <w:rPr>
                <w:sz w:val="20"/>
                <w:szCs w:val="20"/>
              </w:rPr>
              <w:t>2012</w:t>
            </w:r>
          </w:p>
        </w:tc>
        <w:tc>
          <w:tcPr>
            <w:tcW w:w="4536" w:type="dxa"/>
            <w:shd w:val="clear" w:color="auto" w:fill="auto"/>
          </w:tcPr>
          <w:p w:rsidRPr="00331551" w:rsidR="00A717B5" w:rsidP="00331551" w:rsidRDefault="00A717B5">
            <w:pPr>
              <w:spacing w:before="0" w:after="0"/>
              <w:jc w:val="center"/>
              <w:rPr>
                <w:sz w:val="20"/>
                <w:szCs w:val="20"/>
              </w:rPr>
            </w:pPr>
            <w:r w:rsidRPr="00331551">
              <w:rPr>
                <w:sz w:val="20"/>
                <w:szCs w:val="20"/>
              </w:rPr>
              <w:t>23%</w:t>
            </w:r>
          </w:p>
        </w:tc>
        <w:tc>
          <w:tcPr>
            <w:tcW w:w="3973" w:type="dxa"/>
            <w:shd w:val="clear" w:color="auto" w:fill="auto"/>
          </w:tcPr>
          <w:p w:rsidRPr="00331551" w:rsidR="00A717B5" w:rsidP="00331551" w:rsidRDefault="00A717B5">
            <w:pPr>
              <w:spacing w:before="0" w:after="0"/>
              <w:jc w:val="center"/>
              <w:rPr>
                <w:sz w:val="20"/>
                <w:szCs w:val="20"/>
              </w:rPr>
            </w:pPr>
            <w:r w:rsidRPr="00331551">
              <w:rPr>
                <w:sz w:val="20"/>
                <w:szCs w:val="20"/>
              </w:rPr>
              <w:t>20%</w:t>
            </w:r>
          </w:p>
        </w:tc>
      </w:tr>
      <w:tr w:rsidRPr="00331551" w:rsidR="00A717B5" w:rsidTr="00331551">
        <w:tc>
          <w:tcPr>
            <w:tcW w:w="1139" w:type="dxa"/>
            <w:shd w:val="clear" w:color="auto" w:fill="auto"/>
          </w:tcPr>
          <w:p w:rsidRPr="00331551" w:rsidR="00A717B5" w:rsidP="00331551" w:rsidRDefault="00A717B5">
            <w:pPr>
              <w:spacing w:before="0" w:after="0"/>
              <w:jc w:val="center"/>
              <w:rPr>
                <w:sz w:val="20"/>
                <w:szCs w:val="20"/>
              </w:rPr>
            </w:pPr>
            <w:r w:rsidRPr="00331551">
              <w:rPr>
                <w:sz w:val="20"/>
                <w:szCs w:val="20"/>
              </w:rPr>
              <w:t>2013</w:t>
            </w:r>
          </w:p>
        </w:tc>
        <w:tc>
          <w:tcPr>
            <w:tcW w:w="4536" w:type="dxa"/>
            <w:shd w:val="clear" w:color="auto" w:fill="auto"/>
          </w:tcPr>
          <w:p w:rsidRPr="00331551" w:rsidR="00A717B5" w:rsidP="00331551" w:rsidRDefault="00A717B5">
            <w:pPr>
              <w:spacing w:before="0" w:after="0"/>
              <w:jc w:val="center"/>
              <w:rPr>
                <w:sz w:val="20"/>
                <w:szCs w:val="20"/>
              </w:rPr>
            </w:pPr>
            <w:r w:rsidRPr="00331551">
              <w:rPr>
                <w:sz w:val="20"/>
                <w:szCs w:val="20"/>
              </w:rPr>
              <w:t>24%</w:t>
            </w:r>
          </w:p>
        </w:tc>
        <w:tc>
          <w:tcPr>
            <w:tcW w:w="3973" w:type="dxa"/>
            <w:shd w:val="clear" w:color="auto" w:fill="auto"/>
          </w:tcPr>
          <w:p w:rsidRPr="00331551" w:rsidR="00A717B5" w:rsidP="00331551" w:rsidRDefault="00A717B5">
            <w:pPr>
              <w:spacing w:before="0" w:after="0"/>
              <w:jc w:val="center"/>
              <w:rPr>
                <w:sz w:val="20"/>
                <w:szCs w:val="20"/>
              </w:rPr>
            </w:pPr>
            <w:r w:rsidRPr="00331551">
              <w:rPr>
                <w:sz w:val="20"/>
                <w:szCs w:val="20"/>
              </w:rPr>
              <w:t>17%</w:t>
            </w:r>
          </w:p>
        </w:tc>
      </w:tr>
      <w:tr w:rsidRPr="00331551" w:rsidR="00A717B5" w:rsidTr="00331551">
        <w:tc>
          <w:tcPr>
            <w:tcW w:w="1139" w:type="dxa"/>
            <w:shd w:val="clear" w:color="auto" w:fill="auto"/>
          </w:tcPr>
          <w:p w:rsidRPr="00331551" w:rsidR="00A717B5" w:rsidP="00331551" w:rsidRDefault="00A717B5">
            <w:pPr>
              <w:spacing w:before="0" w:after="0"/>
              <w:jc w:val="center"/>
              <w:rPr>
                <w:sz w:val="20"/>
                <w:szCs w:val="20"/>
              </w:rPr>
            </w:pPr>
            <w:r w:rsidRPr="00331551">
              <w:rPr>
                <w:sz w:val="20"/>
                <w:szCs w:val="20"/>
              </w:rPr>
              <w:t>2014</w:t>
            </w:r>
          </w:p>
        </w:tc>
        <w:tc>
          <w:tcPr>
            <w:tcW w:w="4536" w:type="dxa"/>
            <w:shd w:val="clear" w:color="auto" w:fill="auto"/>
          </w:tcPr>
          <w:p w:rsidRPr="00331551" w:rsidR="00A717B5" w:rsidP="00331551" w:rsidRDefault="00A717B5">
            <w:pPr>
              <w:spacing w:before="0" w:after="0"/>
              <w:jc w:val="center"/>
              <w:rPr>
                <w:sz w:val="20"/>
                <w:szCs w:val="20"/>
              </w:rPr>
            </w:pPr>
            <w:r w:rsidRPr="00331551">
              <w:rPr>
                <w:sz w:val="20"/>
                <w:szCs w:val="20"/>
              </w:rPr>
              <w:t>23%</w:t>
            </w:r>
          </w:p>
        </w:tc>
        <w:tc>
          <w:tcPr>
            <w:tcW w:w="3973" w:type="dxa"/>
            <w:shd w:val="clear" w:color="auto" w:fill="auto"/>
          </w:tcPr>
          <w:p w:rsidRPr="00331551" w:rsidR="00A717B5" w:rsidP="00331551" w:rsidRDefault="00A717B5">
            <w:pPr>
              <w:spacing w:before="0" w:after="0"/>
              <w:jc w:val="center"/>
              <w:rPr>
                <w:sz w:val="20"/>
                <w:szCs w:val="20"/>
              </w:rPr>
            </w:pPr>
            <w:r w:rsidRPr="00331551">
              <w:rPr>
                <w:sz w:val="20"/>
                <w:szCs w:val="20"/>
              </w:rPr>
              <w:t>18%</w:t>
            </w:r>
          </w:p>
        </w:tc>
      </w:tr>
      <w:tr w:rsidRPr="00331551" w:rsidR="00A717B5" w:rsidTr="00331551">
        <w:tc>
          <w:tcPr>
            <w:tcW w:w="1139" w:type="dxa"/>
            <w:shd w:val="clear" w:color="auto" w:fill="auto"/>
          </w:tcPr>
          <w:p w:rsidRPr="00331551" w:rsidR="00A717B5" w:rsidP="00331551" w:rsidRDefault="00A717B5">
            <w:pPr>
              <w:spacing w:before="0" w:after="0"/>
              <w:jc w:val="center"/>
              <w:rPr>
                <w:sz w:val="20"/>
                <w:szCs w:val="20"/>
              </w:rPr>
            </w:pPr>
            <w:r w:rsidRPr="00331551">
              <w:rPr>
                <w:sz w:val="20"/>
                <w:szCs w:val="20"/>
              </w:rPr>
              <w:t>2015</w:t>
            </w:r>
          </w:p>
        </w:tc>
        <w:tc>
          <w:tcPr>
            <w:tcW w:w="4536" w:type="dxa"/>
            <w:shd w:val="clear" w:color="auto" w:fill="auto"/>
          </w:tcPr>
          <w:p w:rsidRPr="00331551" w:rsidR="00A717B5" w:rsidP="00331551" w:rsidRDefault="00A717B5">
            <w:pPr>
              <w:spacing w:before="0" w:after="0"/>
              <w:jc w:val="center"/>
              <w:rPr>
                <w:sz w:val="20"/>
                <w:szCs w:val="20"/>
              </w:rPr>
            </w:pPr>
            <w:r w:rsidRPr="00331551">
              <w:rPr>
                <w:sz w:val="20"/>
                <w:szCs w:val="20"/>
              </w:rPr>
              <w:t>30%</w:t>
            </w:r>
          </w:p>
        </w:tc>
        <w:tc>
          <w:tcPr>
            <w:tcW w:w="3973" w:type="dxa"/>
            <w:shd w:val="clear" w:color="auto" w:fill="auto"/>
          </w:tcPr>
          <w:p w:rsidRPr="00331551" w:rsidR="00A717B5" w:rsidP="00331551" w:rsidRDefault="00A717B5">
            <w:pPr>
              <w:spacing w:before="0" w:after="0"/>
              <w:jc w:val="center"/>
              <w:rPr>
                <w:sz w:val="20"/>
                <w:szCs w:val="20"/>
              </w:rPr>
            </w:pPr>
            <w:r w:rsidRPr="00331551">
              <w:rPr>
                <w:sz w:val="20"/>
                <w:szCs w:val="20"/>
              </w:rPr>
              <w:t>23%</w:t>
            </w:r>
          </w:p>
        </w:tc>
      </w:tr>
      <w:tr w:rsidRPr="00331551" w:rsidR="00A717B5" w:rsidTr="00331551">
        <w:tc>
          <w:tcPr>
            <w:tcW w:w="1139" w:type="dxa"/>
            <w:shd w:val="clear" w:color="auto" w:fill="auto"/>
          </w:tcPr>
          <w:p w:rsidRPr="00331551" w:rsidR="00A717B5" w:rsidP="00331551" w:rsidRDefault="00A717B5">
            <w:pPr>
              <w:spacing w:before="0" w:after="0"/>
              <w:jc w:val="center"/>
              <w:rPr>
                <w:sz w:val="20"/>
                <w:szCs w:val="20"/>
              </w:rPr>
            </w:pPr>
            <w:r w:rsidRPr="00331551">
              <w:rPr>
                <w:sz w:val="20"/>
                <w:szCs w:val="20"/>
              </w:rPr>
              <w:t>2016</w:t>
            </w:r>
          </w:p>
        </w:tc>
        <w:tc>
          <w:tcPr>
            <w:tcW w:w="4536" w:type="dxa"/>
            <w:shd w:val="clear" w:color="auto" w:fill="auto"/>
          </w:tcPr>
          <w:p w:rsidRPr="00331551" w:rsidR="00A717B5" w:rsidP="00331551" w:rsidRDefault="00A717B5">
            <w:pPr>
              <w:spacing w:before="0" w:after="0"/>
              <w:jc w:val="center"/>
              <w:rPr>
                <w:sz w:val="20"/>
                <w:szCs w:val="20"/>
              </w:rPr>
            </w:pPr>
            <w:r w:rsidRPr="00331551">
              <w:rPr>
                <w:sz w:val="20"/>
                <w:szCs w:val="20"/>
              </w:rPr>
              <w:t>37%</w:t>
            </w:r>
          </w:p>
        </w:tc>
        <w:tc>
          <w:tcPr>
            <w:tcW w:w="3973" w:type="dxa"/>
            <w:shd w:val="clear" w:color="auto" w:fill="auto"/>
          </w:tcPr>
          <w:p w:rsidRPr="00331551" w:rsidR="00A717B5" w:rsidP="00331551" w:rsidRDefault="00A717B5">
            <w:pPr>
              <w:spacing w:before="0" w:after="0"/>
              <w:jc w:val="center"/>
              <w:rPr>
                <w:sz w:val="20"/>
                <w:szCs w:val="20"/>
              </w:rPr>
            </w:pPr>
            <w:r w:rsidRPr="00331551">
              <w:rPr>
                <w:sz w:val="20"/>
                <w:szCs w:val="20"/>
              </w:rPr>
              <w:t>28%</w:t>
            </w:r>
          </w:p>
        </w:tc>
      </w:tr>
      <w:tr w:rsidRPr="00331551" w:rsidR="00A717B5" w:rsidTr="00331551">
        <w:tc>
          <w:tcPr>
            <w:tcW w:w="1139" w:type="dxa"/>
            <w:shd w:val="clear" w:color="auto" w:fill="auto"/>
          </w:tcPr>
          <w:p w:rsidRPr="00331551" w:rsidR="00A717B5" w:rsidP="00331551" w:rsidRDefault="00A717B5">
            <w:pPr>
              <w:spacing w:before="0" w:after="0"/>
              <w:jc w:val="center"/>
              <w:rPr>
                <w:sz w:val="20"/>
                <w:szCs w:val="20"/>
              </w:rPr>
            </w:pPr>
            <w:r w:rsidRPr="00331551">
              <w:rPr>
                <w:sz w:val="20"/>
                <w:szCs w:val="20"/>
              </w:rPr>
              <w:t>2017</w:t>
            </w:r>
          </w:p>
        </w:tc>
        <w:tc>
          <w:tcPr>
            <w:tcW w:w="4536" w:type="dxa"/>
            <w:shd w:val="clear" w:color="auto" w:fill="auto"/>
          </w:tcPr>
          <w:p w:rsidRPr="00331551" w:rsidR="00A717B5" w:rsidP="00331551" w:rsidRDefault="00A717B5">
            <w:pPr>
              <w:spacing w:before="0" w:after="0"/>
              <w:jc w:val="center"/>
              <w:rPr>
                <w:sz w:val="20"/>
                <w:szCs w:val="20"/>
              </w:rPr>
            </w:pPr>
            <w:r w:rsidRPr="00331551">
              <w:rPr>
                <w:sz w:val="20"/>
                <w:szCs w:val="20"/>
              </w:rPr>
              <w:t>39%</w:t>
            </w:r>
          </w:p>
        </w:tc>
        <w:tc>
          <w:tcPr>
            <w:tcW w:w="3973" w:type="dxa"/>
            <w:shd w:val="clear" w:color="auto" w:fill="auto"/>
          </w:tcPr>
          <w:p w:rsidRPr="00331551" w:rsidR="00A717B5" w:rsidP="00331551" w:rsidRDefault="00A717B5">
            <w:pPr>
              <w:spacing w:before="0" w:after="0"/>
              <w:jc w:val="center"/>
              <w:rPr>
                <w:sz w:val="20"/>
                <w:szCs w:val="20"/>
              </w:rPr>
            </w:pPr>
            <w:r w:rsidRPr="00331551">
              <w:rPr>
                <w:sz w:val="20"/>
                <w:szCs w:val="20"/>
              </w:rPr>
              <w:t>31%</w:t>
            </w:r>
          </w:p>
        </w:tc>
      </w:tr>
    </w:tbl>
    <w:p w:rsidR="00A717B5" w:rsidP="00A717B5" w:rsidRDefault="00A717B5">
      <w:pPr>
        <w:pStyle w:val="Heading2"/>
      </w:pPr>
      <w:r>
        <w:t>There are differences between female and male prisoners in offence types and sentence length</w:t>
      </w:r>
    </w:p>
    <w:p w:rsidR="00A717B5" w:rsidP="00A717B5" w:rsidRDefault="00A717B5">
      <w:r>
        <w:t xml:space="preserve">Drug offences, assaults and property offences (other than burglary) made up the majority of most serious charges/offences (MSC/O) among female prisoners. This is slightly different to male prisoners where assaults, sex offences and drug offences made up the majority of MSC/O. </w:t>
      </w:r>
    </w:p>
    <w:p w:rsidR="00A717B5" w:rsidP="00A717B5" w:rsidRDefault="00A717B5">
      <w:pPr>
        <w:rPr>
          <w:b/>
        </w:rPr>
      </w:pPr>
      <w:r w:rsidRPr="005A5360">
        <w:rPr>
          <w:b/>
        </w:rPr>
        <w:t>MSC/O for prisoners at 30 June 2017</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MSC/O for prisoners at 30 June 2017"/>
      </w:tblPr>
      <w:tblGrid>
        <w:gridCol w:w="5083"/>
        <w:gridCol w:w="2567"/>
        <w:gridCol w:w="1978"/>
      </w:tblGrid>
      <w:tr w:rsidRPr="00331551" w:rsidR="005A5360" w:rsidTr="00331551">
        <w:trPr>
          <w:tblHeader/>
        </w:trPr>
        <w:tc>
          <w:tcPr>
            <w:tcW w:w="2640" w:type="pct"/>
            <w:shd w:val="clear" w:color="auto" w:fill="auto"/>
          </w:tcPr>
          <w:p w:rsidRPr="00BD72B8" w:rsidR="005A5360" w:rsidP="00331551" w:rsidRDefault="005A5360">
            <w:pPr>
              <w:spacing w:before="0" w:after="0"/>
              <w:rPr>
                <w:b/>
                <w:szCs w:val="20"/>
              </w:rPr>
            </w:pPr>
            <w:r w:rsidRPr="00BD72B8">
              <w:rPr>
                <w:b/>
                <w:szCs w:val="20"/>
              </w:rPr>
              <w:t>MSC/O</w:t>
            </w:r>
          </w:p>
        </w:tc>
        <w:tc>
          <w:tcPr>
            <w:tcW w:w="1333" w:type="pct"/>
            <w:shd w:val="clear" w:color="auto" w:fill="auto"/>
          </w:tcPr>
          <w:p w:rsidRPr="00BD72B8" w:rsidR="005A5360" w:rsidP="00331551" w:rsidRDefault="005A5360">
            <w:pPr>
              <w:spacing w:before="0" w:after="0"/>
              <w:jc w:val="center"/>
              <w:rPr>
                <w:b/>
                <w:szCs w:val="20"/>
              </w:rPr>
            </w:pPr>
            <w:r w:rsidRPr="00BD72B8">
              <w:rPr>
                <w:b/>
                <w:szCs w:val="20"/>
              </w:rPr>
              <w:t>Female (%)</w:t>
            </w:r>
          </w:p>
        </w:tc>
        <w:tc>
          <w:tcPr>
            <w:tcW w:w="1027" w:type="pct"/>
            <w:shd w:val="clear" w:color="auto" w:fill="auto"/>
          </w:tcPr>
          <w:p w:rsidRPr="00BD72B8" w:rsidR="005A5360" w:rsidP="00331551" w:rsidRDefault="005A5360">
            <w:pPr>
              <w:spacing w:before="0" w:after="0"/>
              <w:jc w:val="center"/>
              <w:rPr>
                <w:b/>
                <w:szCs w:val="20"/>
              </w:rPr>
            </w:pPr>
            <w:r w:rsidRPr="00BD72B8">
              <w:rPr>
                <w:rFonts w:cs="VIC"/>
                <w:b/>
                <w:color w:val="000000"/>
                <w:szCs w:val="20"/>
              </w:rPr>
              <w:t>Male (%)</w:t>
            </w:r>
          </w:p>
        </w:tc>
      </w:tr>
      <w:tr w:rsidRPr="00331551" w:rsidR="005A5360" w:rsidTr="00331551">
        <w:tc>
          <w:tcPr>
            <w:tcW w:w="2640" w:type="pct"/>
            <w:shd w:val="clear" w:color="auto" w:fill="auto"/>
          </w:tcPr>
          <w:p w:rsidRPr="00331551" w:rsidR="005A5360" w:rsidP="00331551" w:rsidRDefault="005A5360">
            <w:pPr>
              <w:spacing w:before="0" w:after="0"/>
              <w:rPr>
                <w:sz w:val="20"/>
                <w:szCs w:val="20"/>
              </w:rPr>
            </w:pPr>
            <w:r w:rsidRPr="00331551">
              <w:rPr>
                <w:sz w:val="20"/>
                <w:szCs w:val="20"/>
              </w:rPr>
              <w:t>Drug offences</w:t>
            </w:r>
          </w:p>
        </w:tc>
        <w:tc>
          <w:tcPr>
            <w:tcW w:w="1333" w:type="pct"/>
            <w:shd w:val="clear" w:color="auto" w:fill="auto"/>
          </w:tcPr>
          <w:p w:rsidRPr="00331551" w:rsidR="005A5360" w:rsidP="00331551" w:rsidRDefault="005A5360">
            <w:pPr>
              <w:spacing w:before="0" w:after="0"/>
              <w:jc w:val="center"/>
              <w:rPr>
                <w:sz w:val="20"/>
                <w:szCs w:val="20"/>
              </w:rPr>
            </w:pPr>
            <w:r w:rsidRPr="00331551">
              <w:rPr>
                <w:sz w:val="20"/>
                <w:szCs w:val="20"/>
              </w:rPr>
              <w:t>22.1</w:t>
            </w:r>
          </w:p>
        </w:tc>
        <w:tc>
          <w:tcPr>
            <w:tcW w:w="1027" w:type="pct"/>
            <w:shd w:val="clear" w:color="auto" w:fill="auto"/>
          </w:tcPr>
          <w:p w:rsidRPr="00331551" w:rsidR="005A5360" w:rsidP="00331551" w:rsidRDefault="005A5360">
            <w:pPr>
              <w:spacing w:before="0" w:after="0"/>
              <w:jc w:val="center"/>
              <w:rPr>
                <w:sz w:val="20"/>
                <w:szCs w:val="20"/>
              </w:rPr>
            </w:pPr>
            <w:r w:rsidRPr="00331551">
              <w:rPr>
                <w:sz w:val="20"/>
                <w:szCs w:val="20"/>
              </w:rPr>
              <w:t>13.8</w:t>
            </w:r>
          </w:p>
        </w:tc>
      </w:tr>
      <w:tr w:rsidRPr="00331551" w:rsidR="005A5360" w:rsidTr="00331551">
        <w:tc>
          <w:tcPr>
            <w:tcW w:w="2640" w:type="pct"/>
            <w:shd w:val="clear" w:color="auto" w:fill="auto"/>
          </w:tcPr>
          <w:p w:rsidRPr="00331551" w:rsidR="005A5360" w:rsidP="00331551" w:rsidRDefault="005A5360">
            <w:pPr>
              <w:spacing w:before="0" w:after="0"/>
              <w:rPr>
                <w:sz w:val="20"/>
                <w:szCs w:val="20"/>
              </w:rPr>
            </w:pPr>
            <w:r w:rsidRPr="00331551">
              <w:rPr>
                <w:sz w:val="20"/>
                <w:szCs w:val="20"/>
              </w:rPr>
              <w:t>Assault</w:t>
            </w:r>
          </w:p>
        </w:tc>
        <w:tc>
          <w:tcPr>
            <w:tcW w:w="1333" w:type="pct"/>
            <w:shd w:val="clear" w:color="auto" w:fill="auto"/>
          </w:tcPr>
          <w:p w:rsidRPr="00331551" w:rsidR="005A5360" w:rsidP="00331551" w:rsidRDefault="005A5360">
            <w:pPr>
              <w:spacing w:before="0" w:after="0"/>
              <w:jc w:val="center"/>
              <w:rPr>
                <w:sz w:val="20"/>
                <w:szCs w:val="20"/>
              </w:rPr>
            </w:pPr>
            <w:r w:rsidRPr="00331551">
              <w:rPr>
                <w:sz w:val="20"/>
                <w:szCs w:val="20"/>
              </w:rPr>
              <w:t>18..7%</w:t>
            </w:r>
          </w:p>
        </w:tc>
        <w:tc>
          <w:tcPr>
            <w:tcW w:w="1027" w:type="pct"/>
            <w:shd w:val="clear" w:color="auto" w:fill="auto"/>
          </w:tcPr>
          <w:p w:rsidRPr="00331551" w:rsidR="005A5360" w:rsidP="00331551" w:rsidRDefault="005A5360">
            <w:pPr>
              <w:spacing w:before="0" w:after="0"/>
              <w:jc w:val="center"/>
              <w:rPr>
                <w:sz w:val="20"/>
                <w:szCs w:val="20"/>
              </w:rPr>
            </w:pPr>
            <w:r w:rsidRPr="00331551">
              <w:rPr>
                <w:sz w:val="20"/>
                <w:szCs w:val="20"/>
              </w:rPr>
              <w:t>23.7%</w:t>
            </w:r>
          </w:p>
        </w:tc>
      </w:tr>
      <w:tr w:rsidRPr="00331551" w:rsidR="005A5360" w:rsidTr="00331551">
        <w:tc>
          <w:tcPr>
            <w:tcW w:w="2640" w:type="pct"/>
            <w:shd w:val="clear" w:color="auto" w:fill="auto"/>
          </w:tcPr>
          <w:p w:rsidRPr="00331551" w:rsidR="005A5360" w:rsidP="00331551" w:rsidRDefault="005A5360">
            <w:pPr>
              <w:spacing w:before="0" w:after="0"/>
              <w:rPr>
                <w:sz w:val="20"/>
                <w:szCs w:val="20"/>
              </w:rPr>
            </w:pPr>
            <w:r w:rsidRPr="00331551">
              <w:rPr>
                <w:sz w:val="20"/>
                <w:szCs w:val="20"/>
              </w:rPr>
              <w:t>Other property offences</w:t>
            </w:r>
          </w:p>
        </w:tc>
        <w:tc>
          <w:tcPr>
            <w:tcW w:w="1333" w:type="pct"/>
            <w:shd w:val="clear" w:color="auto" w:fill="auto"/>
          </w:tcPr>
          <w:p w:rsidRPr="00331551" w:rsidR="005A5360" w:rsidP="00331551" w:rsidRDefault="005A5360">
            <w:pPr>
              <w:spacing w:before="0" w:after="0"/>
              <w:jc w:val="center"/>
              <w:rPr>
                <w:sz w:val="20"/>
                <w:szCs w:val="20"/>
              </w:rPr>
            </w:pPr>
            <w:r w:rsidRPr="00331551">
              <w:rPr>
                <w:sz w:val="20"/>
                <w:szCs w:val="20"/>
              </w:rPr>
              <w:t>12.2%</w:t>
            </w:r>
          </w:p>
        </w:tc>
        <w:tc>
          <w:tcPr>
            <w:tcW w:w="1027" w:type="pct"/>
            <w:shd w:val="clear" w:color="auto" w:fill="auto"/>
          </w:tcPr>
          <w:p w:rsidRPr="00331551" w:rsidR="005A5360" w:rsidP="00331551" w:rsidRDefault="005A5360">
            <w:pPr>
              <w:spacing w:before="0" w:after="0"/>
              <w:jc w:val="center"/>
              <w:rPr>
                <w:sz w:val="20"/>
                <w:szCs w:val="20"/>
              </w:rPr>
            </w:pPr>
            <w:r w:rsidRPr="00331551">
              <w:rPr>
                <w:sz w:val="20"/>
                <w:szCs w:val="20"/>
              </w:rPr>
              <w:t>8.8%</w:t>
            </w:r>
          </w:p>
        </w:tc>
      </w:tr>
      <w:tr w:rsidRPr="00331551" w:rsidR="005A5360" w:rsidTr="00331551">
        <w:tc>
          <w:tcPr>
            <w:tcW w:w="2640" w:type="pct"/>
            <w:shd w:val="clear" w:color="auto" w:fill="auto"/>
          </w:tcPr>
          <w:p w:rsidRPr="00331551" w:rsidR="005A5360" w:rsidP="00331551" w:rsidRDefault="005A5360">
            <w:pPr>
              <w:spacing w:before="0" w:after="0"/>
              <w:rPr>
                <w:sz w:val="20"/>
                <w:szCs w:val="20"/>
              </w:rPr>
            </w:pPr>
            <w:r w:rsidRPr="00331551">
              <w:rPr>
                <w:sz w:val="20"/>
                <w:szCs w:val="20"/>
              </w:rPr>
              <w:t>Homicide</w:t>
            </w:r>
          </w:p>
        </w:tc>
        <w:tc>
          <w:tcPr>
            <w:tcW w:w="1333" w:type="pct"/>
            <w:shd w:val="clear" w:color="auto" w:fill="auto"/>
          </w:tcPr>
          <w:p w:rsidRPr="00331551" w:rsidR="005A5360" w:rsidP="00331551" w:rsidRDefault="005A5360">
            <w:pPr>
              <w:spacing w:before="0" w:after="0"/>
              <w:jc w:val="center"/>
              <w:rPr>
                <w:sz w:val="20"/>
                <w:szCs w:val="20"/>
              </w:rPr>
            </w:pPr>
            <w:r w:rsidRPr="00331551">
              <w:rPr>
                <w:sz w:val="20"/>
                <w:szCs w:val="20"/>
              </w:rPr>
              <w:t>11.2%</w:t>
            </w:r>
          </w:p>
        </w:tc>
        <w:tc>
          <w:tcPr>
            <w:tcW w:w="1027" w:type="pct"/>
            <w:shd w:val="clear" w:color="auto" w:fill="auto"/>
          </w:tcPr>
          <w:p w:rsidRPr="00331551" w:rsidR="005A5360" w:rsidP="00331551" w:rsidRDefault="005A5360">
            <w:pPr>
              <w:spacing w:before="0" w:after="0"/>
              <w:jc w:val="center"/>
              <w:rPr>
                <w:sz w:val="20"/>
                <w:szCs w:val="20"/>
              </w:rPr>
            </w:pPr>
            <w:r w:rsidRPr="00331551">
              <w:rPr>
                <w:sz w:val="20"/>
                <w:szCs w:val="20"/>
              </w:rPr>
              <w:t>8.2%</w:t>
            </w:r>
          </w:p>
        </w:tc>
      </w:tr>
      <w:tr w:rsidRPr="00331551" w:rsidR="005A5360" w:rsidTr="00331551">
        <w:tc>
          <w:tcPr>
            <w:tcW w:w="2640" w:type="pct"/>
            <w:shd w:val="clear" w:color="auto" w:fill="auto"/>
          </w:tcPr>
          <w:p w:rsidRPr="00331551" w:rsidR="005A5360" w:rsidP="00331551" w:rsidRDefault="005A5360">
            <w:pPr>
              <w:spacing w:before="0" w:after="0"/>
              <w:rPr>
                <w:sz w:val="20"/>
                <w:szCs w:val="20"/>
              </w:rPr>
            </w:pPr>
            <w:r w:rsidRPr="00331551">
              <w:rPr>
                <w:sz w:val="20"/>
                <w:szCs w:val="20"/>
              </w:rPr>
              <w:t>Sex offences</w:t>
            </w:r>
          </w:p>
        </w:tc>
        <w:tc>
          <w:tcPr>
            <w:tcW w:w="1333" w:type="pct"/>
            <w:shd w:val="clear" w:color="auto" w:fill="auto"/>
          </w:tcPr>
          <w:p w:rsidRPr="00331551" w:rsidR="005A5360" w:rsidP="00331551" w:rsidRDefault="005A5360">
            <w:pPr>
              <w:spacing w:before="0" w:after="0"/>
              <w:jc w:val="center"/>
              <w:rPr>
                <w:sz w:val="20"/>
                <w:szCs w:val="20"/>
              </w:rPr>
            </w:pPr>
            <w:r w:rsidRPr="00331551">
              <w:rPr>
                <w:sz w:val="20"/>
                <w:szCs w:val="20"/>
              </w:rPr>
              <w:t>1.6%</w:t>
            </w:r>
          </w:p>
        </w:tc>
        <w:tc>
          <w:tcPr>
            <w:tcW w:w="1027" w:type="pct"/>
            <w:shd w:val="clear" w:color="auto" w:fill="auto"/>
          </w:tcPr>
          <w:p w:rsidRPr="00331551" w:rsidR="005A5360" w:rsidP="00331551" w:rsidRDefault="005A5360">
            <w:pPr>
              <w:spacing w:before="0" w:after="0"/>
              <w:jc w:val="center"/>
              <w:rPr>
                <w:sz w:val="20"/>
                <w:szCs w:val="20"/>
              </w:rPr>
            </w:pPr>
            <w:r w:rsidRPr="00331551">
              <w:rPr>
                <w:sz w:val="20"/>
                <w:szCs w:val="20"/>
              </w:rPr>
              <w:t>14.0%</w:t>
            </w:r>
          </w:p>
        </w:tc>
      </w:tr>
    </w:tbl>
    <w:p w:rsidR="005A5360" w:rsidP="0028666B" w:rsidRDefault="0028666B">
      <w:r w:rsidRPr="0028666B">
        <w:t>Women also spend less time in prison than men. As at 30 June 2017, 18 per cent of female</w:t>
      </w:r>
      <w:r>
        <w:t xml:space="preserve"> </w:t>
      </w:r>
      <w:r w:rsidRPr="0028666B">
        <w:t>sentenced prisoners had an effective sentence length* of five years or more, compared with</w:t>
      </w:r>
      <w:r>
        <w:t xml:space="preserve"> </w:t>
      </w:r>
      <w:r w:rsidRPr="0028666B">
        <w:t>28 per cent of male prisoners. Conversely, 34 per cent of female prisoners had an effective</w:t>
      </w:r>
      <w:r>
        <w:t xml:space="preserve"> </w:t>
      </w:r>
      <w:r w:rsidRPr="0028666B">
        <w:t>sentence length of less than one year, compared with 27 per cent of male prisoners</w:t>
      </w:r>
      <w:r>
        <w:t>.</w:t>
      </w:r>
    </w:p>
    <w:p w:rsidR="00C511DB" w:rsidP="00C511DB" w:rsidRDefault="0028666B">
      <w:r w:rsidRPr="0028666B">
        <w:rPr>
          <w:b/>
        </w:rPr>
        <w:t>Effective sentence length (sentenced) at 30 June 2017</w:t>
      </w:r>
      <w:r w:rsidRPr="00C511DB" w:rsidR="00C511DB">
        <w:t xml:space="preserve"> </w:t>
      </w:r>
    </w:p>
    <w:p w:rsidRPr="0028666B" w:rsidR="00C511DB" w:rsidP="00C511DB" w:rsidRDefault="00C511DB">
      <w:r w:rsidRPr="0028666B">
        <w:t>Period of imprisonment to be served by a sentenced prisoner in the current episode, calculated as the period between the date of</w:t>
      </w:r>
      <w:r>
        <w:t xml:space="preserve"> </w:t>
      </w:r>
      <w:r w:rsidRPr="0028666B">
        <w:t>reception into prison custody and the earliest date of release.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Effective sentence length (sentenced) at 30 June 2017 "/>
      </w:tblPr>
      <w:tblGrid>
        <w:gridCol w:w="5083"/>
        <w:gridCol w:w="2567"/>
        <w:gridCol w:w="1978"/>
      </w:tblGrid>
      <w:tr w:rsidRPr="00331551" w:rsidR="0028666B" w:rsidTr="00331551">
        <w:trPr>
          <w:tblHeader/>
        </w:trPr>
        <w:tc>
          <w:tcPr>
            <w:tcW w:w="2640" w:type="pct"/>
            <w:shd w:val="clear" w:color="auto" w:fill="auto"/>
          </w:tcPr>
          <w:p w:rsidRPr="00BD72B8" w:rsidR="0028666B" w:rsidP="00331551" w:rsidRDefault="0028666B">
            <w:pPr>
              <w:spacing w:before="0" w:after="0"/>
              <w:rPr>
                <w:b/>
                <w:szCs w:val="20"/>
              </w:rPr>
            </w:pPr>
            <w:r w:rsidRPr="00BD72B8">
              <w:rPr>
                <w:b/>
                <w:szCs w:val="20"/>
              </w:rPr>
              <w:t>Effective sentence length</w:t>
            </w:r>
          </w:p>
        </w:tc>
        <w:tc>
          <w:tcPr>
            <w:tcW w:w="1333" w:type="pct"/>
            <w:shd w:val="clear" w:color="auto" w:fill="auto"/>
          </w:tcPr>
          <w:p w:rsidRPr="00BD72B8" w:rsidR="0028666B" w:rsidP="00331551" w:rsidRDefault="0028666B">
            <w:pPr>
              <w:spacing w:before="0" w:after="0"/>
              <w:jc w:val="center"/>
              <w:rPr>
                <w:b/>
                <w:szCs w:val="20"/>
              </w:rPr>
            </w:pPr>
            <w:r w:rsidRPr="00BD72B8">
              <w:rPr>
                <w:b/>
                <w:szCs w:val="20"/>
              </w:rPr>
              <w:t>Female (%)</w:t>
            </w:r>
          </w:p>
        </w:tc>
        <w:tc>
          <w:tcPr>
            <w:tcW w:w="1027" w:type="pct"/>
            <w:shd w:val="clear" w:color="auto" w:fill="auto"/>
          </w:tcPr>
          <w:p w:rsidRPr="00BD72B8" w:rsidR="0028666B" w:rsidP="00331551" w:rsidRDefault="0028666B">
            <w:pPr>
              <w:spacing w:before="0" w:after="0"/>
              <w:jc w:val="center"/>
              <w:rPr>
                <w:b/>
                <w:szCs w:val="20"/>
              </w:rPr>
            </w:pPr>
            <w:r w:rsidRPr="00BD72B8">
              <w:rPr>
                <w:rFonts w:cs="VIC"/>
                <w:b/>
                <w:color w:val="000000"/>
                <w:szCs w:val="20"/>
              </w:rPr>
              <w:t>Male (%)</w:t>
            </w:r>
          </w:p>
        </w:tc>
      </w:tr>
      <w:tr w:rsidRPr="00331551" w:rsidR="0028666B" w:rsidTr="00331551">
        <w:tc>
          <w:tcPr>
            <w:tcW w:w="2640" w:type="pct"/>
            <w:shd w:val="clear" w:color="auto" w:fill="auto"/>
          </w:tcPr>
          <w:p w:rsidRPr="00331551" w:rsidR="0028666B" w:rsidP="00331551" w:rsidRDefault="0028666B">
            <w:pPr>
              <w:spacing w:before="0" w:after="0"/>
              <w:rPr>
                <w:sz w:val="20"/>
                <w:szCs w:val="20"/>
              </w:rPr>
            </w:pPr>
            <w:r w:rsidRPr="00331551">
              <w:rPr>
                <w:sz w:val="20"/>
                <w:szCs w:val="20"/>
              </w:rPr>
              <w:t>Less than one year</w:t>
            </w:r>
          </w:p>
        </w:tc>
        <w:tc>
          <w:tcPr>
            <w:tcW w:w="1333" w:type="pct"/>
            <w:shd w:val="clear" w:color="auto" w:fill="auto"/>
          </w:tcPr>
          <w:p w:rsidRPr="00331551" w:rsidR="0028666B" w:rsidP="00331551" w:rsidRDefault="0028666B">
            <w:pPr>
              <w:spacing w:before="0" w:after="0"/>
              <w:jc w:val="center"/>
              <w:rPr>
                <w:sz w:val="20"/>
                <w:szCs w:val="20"/>
              </w:rPr>
            </w:pPr>
            <w:r w:rsidRPr="00331551">
              <w:rPr>
                <w:sz w:val="20"/>
                <w:szCs w:val="20"/>
              </w:rPr>
              <w:t>34%</w:t>
            </w:r>
          </w:p>
        </w:tc>
        <w:tc>
          <w:tcPr>
            <w:tcW w:w="1027" w:type="pct"/>
            <w:shd w:val="clear" w:color="auto" w:fill="auto"/>
          </w:tcPr>
          <w:p w:rsidRPr="00331551" w:rsidR="0028666B" w:rsidP="00331551" w:rsidRDefault="0028666B">
            <w:pPr>
              <w:spacing w:before="0" w:after="0"/>
              <w:jc w:val="center"/>
              <w:rPr>
                <w:sz w:val="20"/>
                <w:szCs w:val="20"/>
              </w:rPr>
            </w:pPr>
            <w:r w:rsidRPr="00331551">
              <w:rPr>
                <w:sz w:val="20"/>
                <w:szCs w:val="20"/>
              </w:rPr>
              <w:t>27%</w:t>
            </w:r>
          </w:p>
        </w:tc>
      </w:tr>
      <w:tr w:rsidRPr="00331551" w:rsidR="0028666B" w:rsidTr="00331551">
        <w:tc>
          <w:tcPr>
            <w:tcW w:w="2640" w:type="pct"/>
            <w:shd w:val="clear" w:color="auto" w:fill="auto"/>
          </w:tcPr>
          <w:p w:rsidRPr="00331551" w:rsidR="0028666B" w:rsidP="00331551" w:rsidRDefault="0028666B">
            <w:pPr>
              <w:spacing w:before="0" w:after="0"/>
              <w:rPr>
                <w:sz w:val="20"/>
                <w:szCs w:val="20"/>
              </w:rPr>
            </w:pPr>
            <w:r w:rsidRPr="00331551">
              <w:rPr>
                <w:sz w:val="20"/>
                <w:szCs w:val="20"/>
              </w:rPr>
              <w:t>1 to less than 5 years</w:t>
            </w:r>
          </w:p>
        </w:tc>
        <w:tc>
          <w:tcPr>
            <w:tcW w:w="1333" w:type="pct"/>
            <w:shd w:val="clear" w:color="auto" w:fill="auto"/>
          </w:tcPr>
          <w:p w:rsidRPr="00331551" w:rsidR="0028666B" w:rsidP="00331551" w:rsidRDefault="0028666B">
            <w:pPr>
              <w:spacing w:before="0" w:after="0"/>
              <w:jc w:val="center"/>
              <w:rPr>
                <w:sz w:val="20"/>
                <w:szCs w:val="20"/>
              </w:rPr>
            </w:pPr>
            <w:r w:rsidRPr="00331551">
              <w:rPr>
                <w:sz w:val="20"/>
                <w:szCs w:val="20"/>
              </w:rPr>
              <w:t>48%</w:t>
            </w:r>
          </w:p>
        </w:tc>
        <w:tc>
          <w:tcPr>
            <w:tcW w:w="1027" w:type="pct"/>
            <w:shd w:val="clear" w:color="auto" w:fill="auto"/>
          </w:tcPr>
          <w:p w:rsidRPr="00331551" w:rsidR="0028666B" w:rsidP="00331551" w:rsidRDefault="0028666B">
            <w:pPr>
              <w:spacing w:before="0" w:after="0"/>
              <w:jc w:val="center"/>
              <w:rPr>
                <w:sz w:val="20"/>
                <w:szCs w:val="20"/>
              </w:rPr>
            </w:pPr>
            <w:r w:rsidRPr="00331551">
              <w:rPr>
                <w:sz w:val="20"/>
                <w:szCs w:val="20"/>
              </w:rPr>
              <w:t>45%</w:t>
            </w:r>
          </w:p>
        </w:tc>
      </w:tr>
      <w:tr w:rsidRPr="00331551" w:rsidR="0028666B" w:rsidTr="00331551">
        <w:tc>
          <w:tcPr>
            <w:tcW w:w="2640" w:type="pct"/>
            <w:shd w:val="clear" w:color="auto" w:fill="auto"/>
          </w:tcPr>
          <w:p w:rsidRPr="00331551" w:rsidR="0028666B" w:rsidP="00331551" w:rsidRDefault="0028666B">
            <w:pPr>
              <w:spacing w:before="0" w:after="0"/>
              <w:rPr>
                <w:sz w:val="20"/>
                <w:szCs w:val="20"/>
              </w:rPr>
            </w:pPr>
            <w:r w:rsidRPr="00331551">
              <w:rPr>
                <w:sz w:val="20"/>
                <w:szCs w:val="20"/>
              </w:rPr>
              <w:t>5 to less than 10 years</w:t>
            </w:r>
          </w:p>
        </w:tc>
        <w:tc>
          <w:tcPr>
            <w:tcW w:w="1333" w:type="pct"/>
            <w:shd w:val="clear" w:color="auto" w:fill="auto"/>
          </w:tcPr>
          <w:p w:rsidRPr="00331551" w:rsidR="0028666B" w:rsidP="00331551" w:rsidRDefault="0028666B">
            <w:pPr>
              <w:spacing w:before="0" w:after="0"/>
              <w:jc w:val="center"/>
              <w:rPr>
                <w:sz w:val="20"/>
                <w:szCs w:val="20"/>
              </w:rPr>
            </w:pPr>
            <w:r w:rsidRPr="00331551">
              <w:rPr>
                <w:sz w:val="20"/>
                <w:szCs w:val="20"/>
              </w:rPr>
              <w:t>10%</w:t>
            </w:r>
          </w:p>
        </w:tc>
        <w:tc>
          <w:tcPr>
            <w:tcW w:w="1027" w:type="pct"/>
            <w:shd w:val="clear" w:color="auto" w:fill="auto"/>
          </w:tcPr>
          <w:p w:rsidRPr="00331551" w:rsidR="0028666B" w:rsidP="00331551" w:rsidRDefault="0028666B">
            <w:pPr>
              <w:spacing w:before="0" w:after="0"/>
              <w:jc w:val="center"/>
              <w:rPr>
                <w:sz w:val="20"/>
                <w:szCs w:val="20"/>
              </w:rPr>
            </w:pPr>
            <w:r w:rsidRPr="00331551">
              <w:rPr>
                <w:sz w:val="20"/>
                <w:szCs w:val="20"/>
              </w:rPr>
              <w:t>18%</w:t>
            </w:r>
          </w:p>
        </w:tc>
      </w:tr>
      <w:tr w:rsidRPr="00331551" w:rsidR="0028666B" w:rsidTr="00331551">
        <w:tc>
          <w:tcPr>
            <w:tcW w:w="2640" w:type="pct"/>
            <w:shd w:val="clear" w:color="auto" w:fill="auto"/>
          </w:tcPr>
          <w:p w:rsidRPr="00331551" w:rsidR="0028666B" w:rsidP="00331551" w:rsidRDefault="0028666B">
            <w:pPr>
              <w:spacing w:before="0" w:after="0"/>
              <w:rPr>
                <w:sz w:val="20"/>
                <w:szCs w:val="20"/>
              </w:rPr>
            </w:pPr>
            <w:r w:rsidRPr="00331551">
              <w:rPr>
                <w:sz w:val="20"/>
                <w:szCs w:val="20"/>
              </w:rPr>
              <w:t>10 years and over and indeterminate</w:t>
            </w:r>
          </w:p>
        </w:tc>
        <w:tc>
          <w:tcPr>
            <w:tcW w:w="1333" w:type="pct"/>
            <w:shd w:val="clear" w:color="auto" w:fill="auto"/>
          </w:tcPr>
          <w:p w:rsidRPr="00331551" w:rsidR="0028666B" w:rsidP="00331551" w:rsidRDefault="0028666B">
            <w:pPr>
              <w:spacing w:before="0" w:after="0"/>
              <w:jc w:val="center"/>
              <w:rPr>
                <w:sz w:val="20"/>
                <w:szCs w:val="20"/>
              </w:rPr>
            </w:pPr>
            <w:r w:rsidRPr="00331551">
              <w:rPr>
                <w:sz w:val="20"/>
                <w:szCs w:val="20"/>
              </w:rPr>
              <w:t>9%</w:t>
            </w:r>
          </w:p>
        </w:tc>
        <w:tc>
          <w:tcPr>
            <w:tcW w:w="1027" w:type="pct"/>
            <w:shd w:val="clear" w:color="auto" w:fill="auto"/>
          </w:tcPr>
          <w:p w:rsidRPr="00331551" w:rsidR="0028666B" w:rsidP="00331551" w:rsidRDefault="0028666B">
            <w:pPr>
              <w:spacing w:before="0" w:after="0"/>
              <w:jc w:val="center"/>
              <w:rPr>
                <w:sz w:val="20"/>
                <w:szCs w:val="20"/>
              </w:rPr>
            </w:pPr>
            <w:r w:rsidRPr="00331551">
              <w:rPr>
                <w:sz w:val="20"/>
                <w:szCs w:val="20"/>
              </w:rPr>
              <w:t>11%</w:t>
            </w:r>
          </w:p>
        </w:tc>
      </w:tr>
    </w:tbl>
    <w:p w:rsidRPr="0028666B" w:rsidR="0028666B" w:rsidP="0028666B" w:rsidRDefault="0028666B">
      <w:r w:rsidRPr="0028666B">
        <w:t>Note: percentages may not add to 100 per cent due to rounding</w:t>
      </w:r>
    </w:p>
    <w:p w:rsidRPr="004A22F7" w:rsidR="004A22F7" w:rsidP="004A22F7" w:rsidRDefault="004A22F7">
      <w:pPr>
        <w:pStyle w:val="Heading1"/>
      </w:pPr>
      <w:r w:rsidRPr="004A22F7">
        <w:lastRenderedPageBreak/>
        <w:t>WOMEN ENTERING PRISON</w:t>
      </w:r>
    </w:p>
    <w:p w:rsidRPr="004A22F7" w:rsidR="004A22F7" w:rsidP="004A22F7" w:rsidRDefault="004A22F7">
      <w:pPr>
        <w:pStyle w:val="Heading2"/>
      </w:pPr>
      <w:r w:rsidRPr="004A22F7">
        <w:t>There has been a substantial increase in the number of women</w:t>
      </w:r>
      <w:r>
        <w:t xml:space="preserve"> </w:t>
      </w:r>
      <w:r w:rsidRPr="004A22F7">
        <w:t>entering prison on remand</w:t>
      </w:r>
    </w:p>
    <w:p w:rsidR="005A5360" w:rsidP="004A22F7" w:rsidRDefault="004A22F7">
      <w:r w:rsidRPr="004A22F7">
        <w:t>Between 2012 and 2017, the number of women entering prison on remand increased by 155</w:t>
      </w:r>
      <w:r>
        <w:t xml:space="preserve"> </w:t>
      </w:r>
      <w:r w:rsidRPr="004A22F7">
        <w:t>per cent, from 525 to 1,341. Over the same period, the number of women entering prison</w:t>
      </w:r>
      <w:r>
        <w:t xml:space="preserve"> </w:t>
      </w:r>
      <w:r w:rsidRPr="004A22F7">
        <w:t>under sentence decreased by 10 per cent, from 202 to 181</w:t>
      </w:r>
      <w:r>
        <w:t>.</w:t>
      </w:r>
      <w:r w:rsidRPr="004A22F7">
        <w:t xml:space="preserve"> In 2017, female prisoners</w:t>
      </w:r>
      <w:r>
        <w:t xml:space="preserve"> </w:t>
      </w:r>
      <w:r w:rsidRPr="004A22F7">
        <w:t>on remand accounted for 88 per cent of all female prison receptions, and almost half had a</w:t>
      </w:r>
      <w:r>
        <w:t xml:space="preserve"> </w:t>
      </w:r>
      <w:r w:rsidRPr="004A22F7">
        <w:t>most serious charge (MSC) relating to property offences or drug offences</w:t>
      </w:r>
      <w:r>
        <w:t>.</w:t>
      </w:r>
    </w:p>
    <w:p w:rsidR="004A22F7" w:rsidP="004A22F7" w:rsidRDefault="004A22F7">
      <w:pPr>
        <w:rPr>
          <w:b/>
        </w:rPr>
      </w:pPr>
      <w:r w:rsidRPr="004A22F7">
        <w:rPr>
          <w:b/>
        </w:rPr>
        <w:t>Number of women received into prison by warrant status, 2012 to 2017</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Number of women received into prison by warrant status, 2012 to 2017"/>
      </w:tblPr>
      <w:tblGrid>
        <w:gridCol w:w="1137"/>
        <w:gridCol w:w="4527"/>
        <w:gridCol w:w="3964"/>
      </w:tblGrid>
      <w:tr w:rsidRPr="00331551" w:rsidR="00546E4E" w:rsidTr="00331551">
        <w:trPr>
          <w:tblHeader/>
        </w:trPr>
        <w:tc>
          <w:tcPr>
            <w:tcW w:w="1139" w:type="dxa"/>
            <w:shd w:val="clear" w:color="auto" w:fill="auto"/>
          </w:tcPr>
          <w:p w:rsidRPr="00BD72B8" w:rsidR="00546E4E" w:rsidP="00331551" w:rsidRDefault="00546E4E">
            <w:pPr>
              <w:spacing w:before="0" w:after="0"/>
              <w:jc w:val="center"/>
              <w:rPr>
                <w:b/>
                <w:szCs w:val="20"/>
              </w:rPr>
            </w:pPr>
            <w:r w:rsidRPr="00BD72B8">
              <w:rPr>
                <w:b/>
                <w:szCs w:val="20"/>
              </w:rPr>
              <w:t>Year</w:t>
            </w:r>
          </w:p>
        </w:tc>
        <w:tc>
          <w:tcPr>
            <w:tcW w:w="4536" w:type="dxa"/>
            <w:shd w:val="clear" w:color="auto" w:fill="auto"/>
          </w:tcPr>
          <w:p w:rsidRPr="00BD72B8" w:rsidR="00546E4E" w:rsidP="00331551" w:rsidRDefault="00546E4E">
            <w:pPr>
              <w:spacing w:before="0" w:after="0"/>
              <w:jc w:val="center"/>
              <w:rPr>
                <w:b/>
                <w:szCs w:val="20"/>
              </w:rPr>
            </w:pPr>
            <w:r w:rsidRPr="00BD72B8">
              <w:rPr>
                <w:b/>
                <w:szCs w:val="20"/>
              </w:rPr>
              <w:t>Unsentenced</w:t>
            </w:r>
          </w:p>
        </w:tc>
        <w:tc>
          <w:tcPr>
            <w:tcW w:w="3973" w:type="dxa"/>
            <w:shd w:val="clear" w:color="auto" w:fill="auto"/>
          </w:tcPr>
          <w:p w:rsidRPr="00BD72B8" w:rsidR="00546E4E" w:rsidP="00331551" w:rsidRDefault="00546E4E">
            <w:pPr>
              <w:spacing w:before="0" w:after="0"/>
              <w:jc w:val="center"/>
              <w:rPr>
                <w:b/>
                <w:szCs w:val="20"/>
              </w:rPr>
            </w:pPr>
            <w:r w:rsidRPr="00BD72B8">
              <w:rPr>
                <w:b/>
                <w:szCs w:val="20"/>
              </w:rPr>
              <w:t>Sentenced</w:t>
            </w:r>
          </w:p>
        </w:tc>
      </w:tr>
      <w:tr w:rsidRPr="00331551" w:rsidR="00546E4E" w:rsidTr="00331551">
        <w:tc>
          <w:tcPr>
            <w:tcW w:w="1139" w:type="dxa"/>
            <w:shd w:val="clear" w:color="auto" w:fill="auto"/>
          </w:tcPr>
          <w:p w:rsidRPr="00331551" w:rsidR="00546E4E" w:rsidP="00331551" w:rsidRDefault="00546E4E">
            <w:pPr>
              <w:spacing w:before="0" w:after="0"/>
              <w:jc w:val="center"/>
              <w:rPr>
                <w:sz w:val="20"/>
                <w:szCs w:val="20"/>
              </w:rPr>
            </w:pPr>
            <w:r w:rsidRPr="00331551">
              <w:rPr>
                <w:sz w:val="20"/>
                <w:szCs w:val="20"/>
              </w:rPr>
              <w:t>2012</w:t>
            </w:r>
          </w:p>
        </w:tc>
        <w:tc>
          <w:tcPr>
            <w:tcW w:w="4536" w:type="dxa"/>
            <w:shd w:val="clear" w:color="auto" w:fill="auto"/>
          </w:tcPr>
          <w:p w:rsidRPr="00331551" w:rsidR="00546E4E" w:rsidP="00331551" w:rsidRDefault="00546E4E">
            <w:pPr>
              <w:spacing w:before="0" w:after="0"/>
              <w:jc w:val="center"/>
              <w:rPr>
                <w:sz w:val="20"/>
                <w:szCs w:val="20"/>
              </w:rPr>
            </w:pPr>
            <w:r w:rsidRPr="00331551">
              <w:rPr>
                <w:sz w:val="20"/>
                <w:szCs w:val="20"/>
              </w:rPr>
              <w:t>525</w:t>
            </w:r>
          </w:p>
        </w:tc>
        <w:tc>
          <w:tcPr>
            <w:tcW w:w="3973" w:type="dxa"/>
            <w:shd w:val="clear" w:color="auto" w:fill="auto"/>
          </w:tcPr>
          <w:p w:rsidRPr="00331551" w:rsidR="00546E4E" w:rsidP="00331551" w:rsidRDefault="00546E4E">
            <w:pPr>
              <w:spacing w:before="0" w:after="0"/>
              <w:jc w:val="center"/>
              <w:rPr>
                <w:sz w:val="20"/>
                <w:szCs w:val="20"/>
              </w:rPr>
            </w:pPr>
            <w:r w:rsidRPr="00331551">
              <w:rPr>
                <w:sz w:val="20"/>
                <w:szCs w:val="20"/>
              </w:rPr>
              <w:t>202</w:t>
            </w:r>
          </w:p>
        </w:tc>
      </w:tr>
      <w:tr w:rsidRPr="00331551" w:rsidR="00546E4E" w:rsidTr="00331551">
        <w:tc>
          <w:tcPr>
            <w:tcW w:w="1139" w:type="dxa"/>
            <w:shd w:val="clear" w:color="auto" w:fill="auto"/>
          </w:tcPr>
          <w:p w:rsidRPr="00331551" w:rsidR="00546E4E" w:rsidP="00331551" w:rsidRDefault="00546E4E">
            <w:pPr>
              <w:spacing w:before="0" w:after="0"/>
              <w:jc w:val="center"/>
              <w:rPr>
                <w:sz w:val="20"/>
                <w:szCs w:val="20"/>
              </w:rPr>
            </w:pPr>
            <w:r w:rsidRPr="00331551">
              <w:rPr>
                <w:sz w:val="20"/>
                <w:szCs w:val="20"/>
              </w:rPr>
              <w:t>2013</w:t>
            </w:r>
          </w:p>
        </w:tc>
        <w:tc>
          <w:tcPr>
            <w:tcW w:w="4536" w:type="dxa"/>
            <w:shd w:val="clear" w:color="auto" w:fill="auto"/>
          </w:tcPr>
          <w:p w:rsidRPr="00331551" w:rsidR="00546E4E" w:rsidP="00331551" w:rsidRDefault="00546E4E">
            <w:pPr>
              <w:spacing w:before="0" w:after="0"/>
              <w:jc w:val="center"/>
              <w:rPr>
                <w:sz w:val="20"/>
                <w:szCs w:val="20"/>
              </w:rPr>
            </w:pPr>
            <w:r w:rsidRPr="00331551">
              <w:rPr>
                <w:sz w:val="20"/>
                <w:szCs w:val="20"/>
              </w:rPr>
              <w:t>670</w:t>
            </w:r>
          </w:p>
        </w:tc>
        <w:tc>
          <w:tcPr>
            <w:tcW w:w="3973" w:type="dxa"/>
            <w:shd w:val="clear" w:color="auto" w:fill="auto"/>
          </w:tcPr>
          <w:p w:rsidRPr="00331551" w:rsidR="00546E4E" w:rsidP="00331551" w:rsidRDefault="00546E4E">
            <w:pPr>
              <w:spacing w:before="0" w:after="0"/>
              <w:jc w:val="center"/>
              <w:rPr>
                <w:sz w:val="20"/>
                <w:szCs w:val="20"/>
              </w:rPr>
            </w:pPr>
            <w:r w:rsidRPr="00331551">
              <w:rPr>
                <w:sz w:val="20"/>
                <w:szCs w:val="20"/>
              </w:rPr>
              <w:t>233</w:t>
            </w:r>
          </w:p>
        </w:tc>
      </w:tr>
      <w:tr w:rsidRPr="00331551" w:rsidR="00546E4E" w:rsidTr="00331551">
        <w:tc>
          <w:tcPr>
            <w:tcW w:w="1139" w:type="dxa"/>
            <w:shd w:val="clear" w:color="auto" w:fill="auto"/>
          </w:tcPr>
          <w:p w:rsidRPr="00331551" w:rsidR="00546E4E" w:rsidP="00331551" w:rsidRDefault="00546E4E">
            <w:pPr>
              <w:spacing w:before="0" w:after="0"/>
              <w:jc w:val="center"/>
              <w:rPr>
                <w:sz w:val="20"/>
                <w:szCs w:val="20"/>
              </w:rPr>
            </w:pPr>
            <w:r w:rsidRPr="00331551">
              <w:rPr>
                <w:sz w:val="20"/>
                <w:szCs w:val="20"/>
              </w:rPr>
              <w:t>2014</w:t>
            </w:r>
          </w:p>
        </w:tc>
        <w:tc>
          <w:tcPr>
            <w:tcW w:w="4536" w:type="dxa"/>
            <w:shd w:val="clear" w:color="auto" w:fill="auto"/>
          </w:tcPr>
          <w:p w:rsidRPr="00331551" w:rsidR="00546E4E" w:rsidP="00331551" w:rsidRDefault="00546E4E">
            <w:pPr>
              <w:spacing w:before="0" w:after="0"/>
              <w:jc w:val="center"/>
              <w:rPr>
                <w:sz w:val="20"/>
                <w:szCs w:val="20"/>
              </w:rPr>
            </w:pPr>
            <w:r w:rsidRPr="00331551">
              <w:rPr>
                <w:sz w:val="20"/>
                <w:szCs w:val="20"/>
              </w:rPr>
              <w:t>825</w:t>
            </w:r>
          </w:p>
        </w:tc>
        <w:tc>
          <w:tcPr>
            <w:tcW w:w="3973" w:type="dxa"/>
            <w:shd w:val="clear" w:color="auto" w:fill="auto"/>
          </w:tcPr>
          <w:p w:rsidRPr="00331551" w:rsidR="00546E4E" w:rsidP="00331551" w:rsidRDefault="00546E4E">
            <w:pPr>
              <w:spacing w:before="0" w:after="0"/>
              <w:jc w:val="center"/>
              <w:rPr>
                <w:sz w:val="20"/>
                <w:szCs w:val="20"/>
              </w:rPr>
            </w:pPr>
            <w:r w:rsidRPr="00331551">
              <w:rPr>
                <w:sz w:val="20"/>
                <w:szCs w:val="20"/>
              </w:rPr>
              <w:t>163</w:t>
            </w:r>
          </w:p>
        </w:tc>
      </w:tr>
      <w:tr w:rsidRPr="00331551" w:rsidR="00546E4E" w:rsidTr="00331551">
        <w:tc>
          <w:tcPr>
            <w:tcW w:w="1139" w:type="dxa"/>
            <w:shd w:val="clear" w:color="auto" w:fill="auto"/>
          </w:tcPr>
          <w:p w:rsidRPr="00331551" w:rsidR="00546E4E" w:rsidP="00331551" w:rsidRDefault="00546E4E">
            <w:pPr>
              <w:spacing w:before="0" w:after="0"/>
              <w:jc w:val="center"/>
              <w:rPr>
                <w:sz w:val="20"/>
                <w:szCs w:val="20"/>
              </w:rPr>
            </w:pPr>
            <w:r w:rsidRPr="00331551">
              <w:rPr>
                <w:sz w:val="20"/>
                <w:szCs w:val="20"/>
              </w:rPr>
              <w:t>2015</w:t>
            </w:r>
          </w:p>
        </w:tc>
        <w:tc>
          <w:tcPr>
            <w:tcW w:w="4536" w:type="dxa"/>
            <w:shd w:val="clear" w:color="auto" w:fill="auto"/>
          </w:tcPr>
          <w:p w:rsidRPr="00331551" w:rsidR="00546E4E" w:rsidP="00331551" w:rsidRDefault="00546E4E">
            <w:pPr>
              <w:spacing w:before="0" w:after="0"/>
              <w:jc w:val="center"/>
              <w:rPr>
                <w:sz w:val="20"/>
                <w:szCs w:val="20"/>
              </w:rPr>
            </w:pPr>
            <w:r w:rsidRPr="00331551">
              <w:rPr>
                <w:sz w:val="20"/>
                <w:szCs w:val="20"/>
              </w:rPr>
              <w:t>939</w:t>
            </w:r>
          </w:p>
        </w:tc>
        <w:tc>
          <w:tcPr>
            <w:tcW w:w="3973" w:type="dxa"/>
            <w:shd w:val="clear" w:color="auto" w:fill="auto"/>
          </w:tcPr>
          <w:p w:rsidRPr="00331551" w:rsidR="00546E4E" w:rsidP="00331551" w:rsidRDefault="00546E4E">
            <w:pPr>
              <w:spacing w:before="0" w:after="0"/>
              <w:jc w:val="center"/>
              <w:rPr>
                <w:sz w:val="20"/>
                <w:szCs w:val="20"/>
              </w:rPr>
            </w:pPr>
            <w:r w:rsidRPr="00331551">
              <w:rPr>
                <w:sz w:val="20"/>
                <w:szCs w:val="20"/>
              </w:rPr>
              <w:t>169</w:t>
            </w:r>
          </w:p>
        </w:tc>
      </w:tr>
      <w:tr w:rsidRPr="00331551" w:rsidR="00546E4E" w:rsidTr="00331551">
        <w:tc>
          <w:tcPr>
            <w:tcW w:w="1139" w:type="dxa"/>
            <w:shd w:val="clear" w:color="auto" w:fill="auto"/>
          </w:tcPr>
          <w:p w:rsidRPr="00331551" w:rsidR="00546E4E" w:rsidP="00331551" w:rsidRDefault="00546E4E">
            <w:pPr>
              <w:spacing w:before="0" w:after="0"/>
              <w:jc w:val="center"/>
              <w:rPr>
                <w:sz w:val="20"/>
                <w:szCs w:val="20"/>
              </w:rPr>
            </w:pPr>
            <w:r w:rsidRPr="00331551">
              <w:rPr>
                <w:sz w:val="20"/>
                <w:szCs w:val="20"/>
              </w:rPr>
              <w:t>2016</w:t>
            </w:r>
          </w:p>
        </w:tc>
        <w:tc>
          <w:tcPr>
            <w:tcW w:w="4536" w:type="dxa"/>
            <w:shd w:val="clear" w:color="auto" w:fill="auto"/>
          </w:tcPr>
          <w:p w:rsidRPr="00331551" w:rsidR="00546E4E" w:rsidP="00331551" w:rsidRDefault="00546E4E">
            <w:pPr>
              <w:spacing w:before="0" w:after="0"/>
              <w:jc w:val="center"/>
              <w:rPr>
                <w:sz w:val="20"/>
                <w:szCs w:val="20"/>
              </w:rPr>
            </w:pPr>
            <w:r w:rsidRPr="00331551">
              <w:rPr>
                <w:sz w:val="20"/>
                <w:szCs w:val="20"/>
              </w:rPr>
              <w:t>1208</w:t>
            </w:r>
          </w:p>
        </w:tc>
        <w:tc>
          <w:tcPr>
            <w:tcW w:w="3973" w:type="dxa"/>
            <w:shd w:val="clear" w:color="auto" w:fill="auto"/>
          </w:tcPr>
          <w:p w:rsidRPr="00331551" w:rsidR="00546E4E" w:rsidP="00331551" w:rsidRDefault="00546E4E">
            <w:pPr>
              <w:spacing w:before="0" w:after="0"/>
              <w:jc w:val="center"/>
              <w:rPr>
                <w:sz w:val="20"/>
                <w:szCs w:val="20"/>
              </w:rPr>
            </w:pPr>
            <w:r w:rsidRPr="00331551">
              <w:rPr>
                <w:sz w:val="20"/>
                <w:szCs w:val="20"/>
              </w:rPr>
              <w:t>162</w:t>
            </w:r>
          </w:p>
        </w:tc>
      </w:tr>
      <w:tr w:rsidRPr="00331551" w:rsidR="00546E4E" w:rsidTr="00331551">
        <w:tc>
          <w:tcPr>
            <w:tcW w:w="1139" w:type="dxa"/>
            <w:shd w:val="clear" w:color="auto" w:fill="auto"/>
          </w:tcPr>
          <w:p w:rsidRPr="00331551" w:rsidR="00546E4E" w:rsidP="00331551" w:rsidRDefault="00546E4E">
            <w:pPr>
              <w:spacing w:before="0" w:after="0"/>
              <w:jc w:val="center"/>
              <w:rPr>
                <w:sz w:val="20"/>
                <w:szCs w:val="20"/>
              </w:rPr>
            </w:pPr>
            <w:r w:rsidRPr="00331551">
              <w:rPr>
                <w:sz w:val="20"/>
                <w:szCs w:val="20"/>
              </w:rPr>
              <w:t>2017</w:t>
            </w:r>
          </w:p>
        </w:tc>
        <w:tc>
          <w:tcPr>
            <w:tcW w:w="4536" w:type="dxa"/>
            <w:shd w:val="clear" w:color="auto" w:fill="auto"/>
          </w:tcPr>
          <w:p w:rsidRPr="00331551" w:rsidR="00546E4E" w:rsidP="00331551" w:rsidRDefault="00546E4E">
            <w:pPr>
              <w:spacing w:before="0" w:after="0"/>
              <w:jc w:val="center"/>
              <w:rPr>
                <w:sz w:val="20"/>
                <w:szCs w:val="20"/>
              </w:rPr>
            </w:pPr>
            <w:r w:rsidRPr="00331551">
              <w:rPr>
                <w:sz w:val="20"/>
                <w:szCs w:val="20"/>
              </w:rPr>
              <w:t>1341</w:t>
            </w:r>
          </w:p>
        </w:tc>
        <w:tc>
          <w:tcPr>
            <w:tcW w:w="3973" w:type="dxa"/>
            <w:shd w:val="clear" w:color="auto" w:fill="auto"/>
          </w:tcPr>
          <w:p w:rsidRPr="00331551" w:rsidR="00546E4E" w:rsidP="00331551" w:rsidRDefault="00546E4E">
            <w:pPr>
              <w:spacing w:before="0" w:after="0"/>
              <w:jc w:val="center"/>
              <w:rPr>
                <w:sz w:val="20"/>
                <w:szCs w:val="20"/>
              </w:rPr>
            </w:pPr>
            <w:r w:rsidRPr="00331551">
              <w:rPr>
                <w:sz w:val="20"/>
                <w:szCs w:val="20"/>
              </w:rPr>
              <w:t>181</w:t>
            </w:r>
          </w:p>
        </w:tc>
      </w:tr>
    </w:tbl>
    <w:p w:rsidRPr="00546E4E" w:rsidR="00546E4E" w:rsidP="00546E4E" w:rsidRDefault="00546E4E">
      <w:r w:rsidRPr="00546E4E">
        <w:t>Over the same period, the number of men entering prison on remand almost doubled, from 3,803 to 7,474, while the number entering under sentence decreased by 29 per cent, from 2,189 to 1,564.</w:t>
      </w:r>
    </w:p>
    <w:p w:rsidR="00546E4E" w:rsidP="00546E4E" w:rsidRDefault="00546E4E">
      <w:pPr>
        <w:pStyle w:val="Heading2"/>
      </w:pPr>
      <w:r>
        <w:t>POPULATION VS RECEPTION DATA – WHAT DOES IT TELL US?</w:t>
      </w:r>
    </w:p>
    <w:p w:rsidRPr="004A22F7" w:rsidR="004A22F7" w:rsidP="00546E4E" w:rsidRDefault="00546E4E">
      <w:r>
        <w:t>A snapshot of the prison population at a point in time (i.e. 30 June) does not capture the large number of women entering prison for short periods throughout the year. The total number of women entering each year (the ‘flow’ of prisoner receptions) is much larger than the point-in-time (or ‘snapshot’) prison population and the characteristics of women prisoners appear different using this measure. The growth in the women’s remand population is especially pronounced in the flow data.</w:t>
      </w:r>
    </w:p>
    <w:p w:rsidR="00546E4E" w:rsidP="00546E4E" w:rsidRDefault="00546E4E">
      <w:pPr>
        <w:pStyle w:val="Heading1"/>
      </w:pPr>
      <w:r>
        <w:t>The profile of women received into prison on remand has changed over the last five years</w:t>
      </w:r>
    </w:p>
    <w:p w:rsidR="00546E4E" w:rsidP="00546E4E" w:rsidRDefault="00546E4E">
      <w:r>
        <w:t>Between 2012 and 2017:</w:t>
      </w:r>
    </w:p>
    <w:p w:rsidR="00546E4E" w:rsidP="00546E4E" w:rsidRDefault="00546E4E">
      <w:pPr>
        <w:numPr>
          <w:ilvl w:val="0"/>
          <w:numId w:val="18"/>
        </w:numPr>
      </w:pPr>
      <w:r>
        <w:t>Aboriginal and Torres Strait Islander women entering prison on remand increased from 13 per cent to 17 per cent of all female remand receptions. The 2017 figure is higher than the figure for Aboriginal males (11 per cent).</w:t>
      </w:r>
    </w:p>
    <w:p w:rsidR="00546E4E" w:rsidP="00546E4E" w:rsidRDefault="00546E4E">
      <w:pPr>
        <w:numPr>
          <w:ilvl w:val="0"/>
          <w:numId w:val="18"/>
        </w:numPr>
      </w:pPr>
      <w:r>
        <w:t>The proportion of women entering prison on remand who had previously been in a Victorian prison under sentence decreased from 56 per cent to 51 per cent. This is a far smaller proportion than for males received on remand (72 per cent in 2017).</w:t>
      </w:r>
    </w:p>
    <w:p w:rsidR="00546E4E" w:rsidP="00546E4E" w:rsidRDefault="00546E4E">
      <w:pPr>
        <w:numPr>
          <w:ilvl w:val="0"/>
          <w:numId w:val="18"/>
        </w:numPr>
      </w:pPr>
      <w:r>
        <w:t xml:space="preserve">The proportion of young women aged under 25 entering prison on remand decreased from 27 per cent to 18 per cent. This is similar to the proportion of male prisoners remanded (19 per cent in 2017). Almost one in two women remanded in 2017 were aged 25 to 34 years and a further one in four were aged 35 to 44 years. Only one per cent were 55 years old and over. Women who entered prison on remand in 2017 were more likely to be aged 25 to 34 than men who entered prison on remand over this period. </w:t>
      </w:r>
    </w:p>
    <w:p w:rsidRPr="00546E4E" w:rsidR="0041273C" w:rsidP="00546E4E" w:rsidRDefault="00546E4E">
      <w:pPr>
        <w:rPr>
          <w:b/>
        </w:rPr>
      </w:pPr>
      <w:r w:rsidRPr="00546E4E">
        <w:rPr>
          <w:b/>
        </w:rPr>
        <w:lastRenderedPageBreak/>
        <w:t>Age profile for prisoners received on remand, 2017</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Age profile for prisoners received on remand, 2017"/>
      </w:tblPr>
      <w:tblGrid>
        <w:gridCol w:w="5083"/>
        <w:gridCol w:w="2567"/>
        <w:gridCol w:w="1978"/>
      </w:tblGrid>
      <w:tr w:rsidRPr="00331551" w:rsidR="00127C12" w:rsidTr="00331551">
        <w:trPr>
          <w:tblHeader/>
        </w:trPr>
        <w:tc>
          <w:tcPr>
            <w:tcW w:w="2640" w:type="pct"/>
            <w:shd w:val="clear" w:color="auto" w:fill="auto"/>
          </w:tcPr>
          <w:p w:rsidRPr="00BD72B8" w:rsidR="00127C12" w:rsidP="00331551" w:rsidRDefault="00127C12">
            <w:pPr>
              <w:spacing w:before="0" w:after="0"/>
              <w:rPr>
                <w:b/>
                <w:szCs w:val="20"/>
              </w:rPr>
            </w:pPr>
            <w:r w:rsidRPr="00BD72B8">
              <w:rPr>
                <w:b/>
                <w:szCs w:val="20"/>
              </w:rPr>
              <w:t>Age</w:t>
            </w:r>
          </w:p>
        </w:tc>
        <w:tc>
          <w:tcPr>
            <w:tcW w:w="1333" w:type="pct"/>
            <w:shd w:val="clear" w:color="auto" w:fill="auto"/>
          </w:tcPr>
          <w:p w:rsidRPr="00BD72B8" w:rsidR="00127C12" w:rsidP="00331551" w:rsidRDefault="00127C12">
            <w:pPr>
              <w:spacing w:before="0" w:after="0"/>
              <w:jc w:val="center"/>
              <w:rPr>
                <w:b/>
                <w:szCs w:val="20"/>
              </w:rPr>
            </w:pPr>
            <w:r w:rsidRPr="00BD72B8">
              <w:rPr>
                <w:b/>
                <w:szCs w:val="20"/>
              </w:rPr>
              <w:t>Female (%)</w:t>
            </w:r>
          </w:p>
        </w:tc>
        <w:tc>
          <w:tcPr>
            <w:tcW w:w="1027" w:type="pct"/>
            <w:shd w:val="clear" w:color="auto" w:fill="auto"/>
          </w:tcPr>
          <w:p w:rsidRPr="00BD72B8" w:rsidR="00127C12" w:rsidP="00331551" w:rsidRDefault="00127C12">
            <w:pPr>
              <w:spacing w:before="0" w:after="0"/>
              <w:jc w:val="center"/>
              <w:rPr>
                <w:b/>
                <w:szCs w:val="20"/>
              </w:rPr>
            </w:pPr>
            <w:r w:rsidRPr="00BD72B8">
              <w:rPr>
                <w:rFonts w:cs="VIC"/>
                <w:b/>
                <w:color w:val="000000"/>
                <w:szCs w:val="20"/>
              </w:rPr>
              <w:t>Male (%)</w:t>
            </w:r>
          </w:p>
        </w:tc>
      </w:tr>
      <w:tr w:rsidRPr="00331551" w:rsidR="00127C12" w:rsidTr="00331551">
        <w:tc>
          <w:tcPr>
            <w:tcW w:w="2640" w:type="pct"/>
            <w:shd w:val="clear" w:color="auto" w:fill="auto"/>
          </w:tcPr>
          <w:p w:rsidRPr="00331551" w:rsidR="00127C12" w:rsidP="00331551" w:rsidRDefault="00127C12">
            <w:pPr>
              <w:spacing w:before="0" w:after="0"/>
              <w:rPr>
                <w:sz w:val="20"/>
                <w:szCs w:val="20"/>
              </w:rPr>
            </w:pPr>
            <w:r w:rsidRPr="00331551">
              <w:rPr>
                <w:sz w:val="20"/>
                <w:szCs w:val="20"/>
              </w:rPr>
              <w:t>Under 25 years</w:t>
            </w:r>
          </w:p>
        </w:tc>
        <w:tc>
          <w:tcPr>
            <w:tcW w:w="1333" w:type="pct"/>
            <w:shd w:val="clear" w:color="auto" w:fill="auto"/>
          </w:tcPr>
          <w:p w:rsidRPr="00331551" w:rsidR="00127C12" w:rsidP="00331551" w:rsidRDefault="00127C12">
            <w:pPr>
              <w:spacing w:before="0" w:after="0"/>
              <w:jc w:val="center"/>
              <w:rPr>
                <w:sz w:val="20"/>
                <w:szCs w:val="20"/>
              </w:rPr>
            </w:pPr>
            <w:r w:rsidRPr="00331551">
              <w:rPr>
                <w:sz w:val="20"/>
                <w:szCs w:val="20"/>
              </w:rPr>
              <w:t>18.3</w:t>
            </w:r>
          </w:p>
        </w:tc>
        <w:tc>
          <w:tcPr>
            <w:tcW w:w="1027" w:type="pct"/>
            <w:shd w:val="clear" w:color="auto" w:fill="auto"/>
          </w:tcPr>
          <w:p w:rsidRPr="00331551" w:rsidR="00127C12" w:rsidP="00331551" w:rsidRDefault="00127C12">
            <w:pPr>
              <w:spacing w:before="0" w:after="0"/>
              <w:jc w:val="center"/>
              <w:rPr>
                <w:sz w:val="20"/>
                <w:szCs w:val="20"/>
              </w:rPr>
            </w:pPr>
            <w:r w:rsidRPr="00331551">
              <w:rPr>
                <w:sz w:val="20"/>
                <w:szCs w:val="20"/>
              </w:rPr>
              <w:t>19.4</w:t>
            </w:r>
          </w:p>
        </w:tc>
      </w:tr>
      <w:tr w:rsidRPr="00331551" w:rsidR="00127C12" w:rsidTr="00331551">
        <w:tc>
          <w:tcPr>
            <w:tcW w:w="2640" w:type="pct"/>
            <w:shd w:val="clear" w:color="auto" w:fill="auto"/>
          </w:tcPr>
          <w:p w:rsidRPr="00331551" w:rsidR="00127C12" w:rsidP="00331551" w:rsidRDefault="00127C12">
            <w:pPr>
              <w:spacing w:before="0" w:after="0"/>
              <w:rPr>
                <w:sz w:val="20"/>
                <w:szCs w:val="20"/>
              </w:rPr>
            </w:pPr>
            <w:r w:rsidRPr="00331551">
              <w:rPr>
                <w:sz w:val="20"/>
                <w:szCs w:val="20"/>
              </w:rPr>
              <w:t>25-34 years</w:t>
            </w:r>
          </w:p>
        </w:tc>
        <w:tc>
          <w:tcPr>
            <w:tcW w:w="1333" w:type="pct"/>
            <w:shd w:val="clear" w:color="auto" w:fill="auto"/>
          </w:tcPr>
          <w:p w:rsidRPr="00331551" w:rsidR="00127C12" w:rsidP="00331551" w:rsidRDefault="00127C12">
            <w:pPr>
              <w:spacing w:before="0" w:after="0"/>
              <w:jc w:val="center"/>
              <w:rPr>
                <w:sz w:val="20"/>
                <w:szCs w:val="20"/>
              </w:rPr>
            </w:pPr>
            <w:r w:rsidRPr="00331551">
              <w:rPr>
                <w:sz w:val="20"/>
                <w:szCs w:val="20"/>
              </w:rPr>
              <w:t>46.2</w:t>
            </w:r>
          </w:p>
        </w:tc>
        <w:tc>
          <w:tcPr>
            <w:tcW w:w="1027" w:type="pct"/>
            <w:shd w:val="clear" w:color="auto" w:fill="auto"/>
          </w:tcPr>
          <w:p w:rsidRPr="00331551" w:rsidR="00127C12" w:rsidP="00331551" w:rsidRDefault="00127C12">
            <w:pPr>
              <w:spacing w:before="0" w:after="0"/>
              <w:jc w:val="center"/>
              <w:rPr>
                <w:sz w:val="20"/>
                <w:szCs w:val="20"/>
              </w:rPr>
            </w:pPr>
            <w:r w:rsidRPr="00331551">
              <w:rPr>
                <w:sz w:val="20"/>
                <w:szCs w:val="20"/>
              </w:rPr>
              <w:t>39.3</w:t>
            </w:r>
          </w:p>
        </w:tc>
      </w:tr>
      <w:tr w:rsidRPr="00331551" w:rsidR="00127C12" w:rsidTr="00331551">
        <w:tc>
          <w:tcPr>
            <w:tcW w:w="2640" w:type="pct"/>
            <w:shd w:val="clear" w:color="auto" w:fill="auto"/>
          </w:tcPr>
          <w:p w:rsidRPr="00331551" w:rsidR="00127C12" w:rsidP="00331551" w:rsidRDefault="00127C12">
            <w:pPr>
              <w:spacing w:before="0" w:after="0"/>
              <w:rPr>
                <w:sz w:val="20"/>
                <w:szCs w:val="20"/>
              </w:rPr>
            </w:pPr>
            <w:r w:rsidRPr="00331551">
              <w:rPr>
                <w:sz w:val="20"/>
                <w:szCs w:val="20"/>
              </w:rPr>
              <w:t>35-44 years</w:t>
            </w:r>
          </w:p>
        </w:tc>
        <w:tc>
          <w:tcPr>
            <w:tcW w:w="1333" w:type="pct"/>
            <w:shd w:val="clear" w:color="auto" w:fill="auto"/>
          </w:tcPr>
          <w:p w:rsidRPr="00331551" w:rsidR="00127C12" w:rsidP="00331551" w:rsidRDefault="00127C12">
            <w:pPr>
              <w:spacing w:before="0" w:after="0"/>
              <w:jc w:val="center"/>
              <w:rPr>
                <w:sz w:val="20"/>
                <w:szCs w:val="20"/>
              </w:rPr>
            </w:pPr>
            <w:r w:rsidRPr="00331551">
              <w:rPr>
                <w:sz w:val="20"/>
                <w:szCs w:val="20"/>
              </w:rPr>
              <w:t>26.0</w:t>
            </w:r>
          </w:p>
        </w:tc>
        <w:tc>
          <w:tcPr>
            <w:tcW w:w="1027" w:type="pct"/>
            <w:shd w:val="clear" w:color="auto" w:fill="auto"/>
          </w:tcPr>
          <w:p w:rsidRPr="00331551" w:rsidR="00127C12" w:rsidP="00331551" w:rsidRDefault="00127C12">
            <w:pPr>
              <w:spacing w:before="0" w:after="0"/>
              <w:jc w:val="center"/>
              <w:rPr>
                <w:sz w:val="20"/>
                <w:szCs w:val="20"/>
              </w:rPr>
            </w:pPr>
            <w:r w:rsidRPr="00331551">
              <w:rPr>
                <w:sz w:val="20"/>
                <w:szCs w:val="20"/>
              </w:rPr>
              <w:t>28.2</w:t>
            </w:r>
          </w:p>
        </w:tc>
      </w:tr>
      <w:tr w:rsidRPr="00331551" w:rsidR="00127C12" w:rsidTr="00331551">
        <w:tc>
          <w:tcPr>
            <w:tcW w:w="2640" w:type="pct"/>
            <w:shd w:val="clear" w:color="auto" w:fill="auto"/>
          </w:tcPr>
          <w:p w:rsidRPr="00331551" w:rsidR="00127C12" w:rsidP="00331551" w:rsidRDefault="00127C12">
            <w:pPr>
              <w:spacing w:before="0" w:after="0"/>
              <w:rPr>
                <w:sz w:val="20"/>
                <w:szCs w:val="20"/>
              </w:rPr>
            </w:pPr>
            <w:r w:rsidRPr="00331551">
              <w:rPr>
                <w:sz w:val="20"/>
                <w:szCs w:val="20"/>
              </w:rPr>
              <w:t>45-54 years</w:t>
            </w:r>
          </w:p>
        </w:tc>
        <w:tc>
          <w:tcPr>
            <w:tcW w:w="1333" w:type="pct"/>
            <w:shd w:val="clear" w:color="auto" w:fill="auto"/>
          </w:tcPr>
          <w:p w:rsidRPr="00331551" w:rsidR="00127C12" w:rsidP="00331551" w:rsidRDefault="00127C12">
            <w:pPr>
              <w:spacing w:before="0" w:after="0"/>
              <w:jc w:val="center"/>
              <w:rPr>
                <w:sz w:val="20"/>
                <w:szCs w:val="20"/>
              </w:rPr>
            </w:pPr>
            <w:r w:rsidRPr="00331551">
              <w:rPr>
                <w:sz w:val="20"/>
                <w:szCs w:val="20"/>
              </w:rPr>
              <w:t>8.3</w:t>
            </w:r>
          </w:p>
        </w:tc>
        <w:tc>
          <w:tcPr>
            <w:tcW w:w="1027" w:type="pct"/>
            <w:shd w:val="clear" w:color="auto" w:fill="auto"/>
          </w:tcPr>
          <w:p w:rsidRPr="00331551" w:rsidR="00127C12" w:rsidP="00331551" w:rsidRDefault="00127C12">
            <w:pPr>
              <w:spacing w:before="0" w:after="0"/>
              <w:jc w:val="center"/>
              <w:rPr>
                <w:sz w:val="20"/>
                <w:szCs w:val="20"/>
              </w:rPr>
            </w:pPr>
            <w:r w:rsidRPr="00331551">
              <w:rPr>
                <w:sz w:val="20"/>
                <w:szCs w:val="20"/>
              </w:rPr>
              <w:t>10.6</w:t>
            </w:r>
          </w:p>
        </w:tc>
      </w:tr>
      <w:tr w:rsidRPr="00331551" w:rsidR="00127C12" w:rsidTr="00331551">
        <w:tc>
          <w:tcPr>
            <w:tcW w:w="2640" w:type="pct"/>
            <w:shd w:val="clear" w:color="auto" w:fill="auto"/>
          </w:tcPr>
          <w:p w:rsidRPr="00331551" w:rsidR="00127C12" w:rsidP="00331551" w:rsidRDefault="00127C12">
            <w:pPr>
              <w:spacing w:before="0" w:after="0"/>
              <w:rPr>
                <w:sz w:val="20"/>
                <w:szCs w:val="20"/>
              </w:rPr>
            </w:pPr>
            <w:r w:rsidRPr="00331551">
              <w:rPr>
                <w:sz w:val="20"/>
                <w:szCs w:val="20"/>
              </w:rPr>
              <w:t>55 years and over</w:t>
            </w:r>
          </w:p>
        </w:tc>
        <w:tc>
          <w:tcPr>
            <w:tcW w:w="1333" w:type="pct"/>
            <w:shd w:val="clear" w:color="auto" w:fill="auto"/>
          </w:tcPr>
          <w:p w:rsidRPr="00331551" w:rsidR="00127C12" w:rsidP="00331551" w:rsidRDefault="00127C12">
            <w:pPr>
              <w:spacing w:before="0" w:after="0"/>
              <w:jc w:val="center"/>
              <w:rPr>
                <w:sz w:val="20"/>
                <w:szCs w:val="20"/>
              </w:rPr>
            </w:pPr>
            <w:r w:rsidRPr="00331551">
              <w:rPr>
                <w:sz w:val="20"/>
                <w:szCs w:val="20"/>
              </w:rPr>
              <w:t>1.3</w:t>
            </w:r>
          </w:p>
        </w:tc>
        <w:tc>
          <w:tcPr>
            <w:tcW w:w="1027" w:type="pct"/>
            <w:shd w:val="clear" w:color="auto" w:fill="auto"/>
          </w:tcPr>
          <w:p w:rsidRPr="00331551" w:rsidR="00127C12" w:rsidP="00331551" w:rsidRDefault="00127C12">
            <w:pPr>
              <w:spacing w:before="0" w:after="0"/>
              <w:jc w:val="center"/>
              <w:rPr>
                <w:sz w:val="20"/>
                <w:szCs w:val="20"/>
              </w:rPr>
            </w:pPr>
            <w:r w:rsidRPr="00331551">
              <w:rPr>
                <w:sz w:val="20"/>
                <w:szCs w:val="20"/>
              </w:rPr>
              <w:t>2.5</w:t>
            </w:r>
          </w:p>
        </w:tc>
      </w:tr>
    </w:tbl>
    <w:p w:rsidR="0041273C" w:rsidP="00127C12" w:rsidRDefault="00127C12">
      <w:r>
        <w:t>The MSC category for which women were most frequently remanded in 2017 was other property offences, such as shoplifting, handling stolen goods and motor vehicle theft. There were disproportionate increases in the number of women entering prison on remand for other property offences and breach of order offences (most frequently breach of bail and breach of intervention order).</w:t>
      </w:r>
    </w:p>
    <w:p w:rsidR="00127C12" w:rsidP="00127C12" w:rsidRDefault="00127C12">
      <w:pPr>
        <w:rPr>
          <w:b/>
        </w:rPr>
      </w:pPr>
      <w:r w:rsidRPr="00127C12">
        <w:rPr>
          <w:b/>
        </w:rPr>
        <w:t>Top five MSC categories for women received on remand, 2017</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Top five MSC categories for women received on remand, 2017"/>
      </w:tblPr>
      <w:tblGrid>
        <w:gridCol w:w="1611"/>
        <w:gridCol w:w="1610"/>
        <w:gridCol w:w="1610"/>
        <w:gridCol w:w="1598"/>
        <w:gridCol w:w="1599"/>
        <w:gridCol w:w="1600"/>
      </w:tblGrid>
      <w:tr w:rsidRPr="00BD72B8" w:rsidR="00127C12" w:rsidTr="00BD72B8">
        <w:trPr>
          <w:tblHeader/>
        </w:trPr>
        <w:tc>
          <w:tcPr>
            <w:tcW w:w="1613" w:type="dxa"/>
            <w:shd w:val="clear" w:color="auto" w:fill="auto"/>
          </w:tcPr>
          <w:p w:rsidRPr="00BD72B8" w:rsidR="00127C12" w:rsidP="00331551" w:rsidRDefault="00127C12">
            <w:pPr>
              <w:spacing w:before="0" w:after="0"/>
              <w:rPr>
                <w:b/>
                <w:szCs w:val="20"/>
              </w:rPr>
            </w:pPr>
            <w:r w:rsidRPr="00BD72B8">
              <w:rPr>
                <w:b/>
                <w:szCs w:val="20"/>
              </w:rPr>
              <w:t>MSC</w:t>
            </w:r>
          </w:p>
        </w:tc>
        <w:tc>
          <w:tcPr>
            <w:tcW w:w="1613" w:type="dxa"/>
            <w:shd w:val="clear" w:color="auto" w:fill="auto"/>
          </w:tcPr>
          <w:p w:rsidRPr="00BD72B8" w:rsidR="00127C12" w:rsidP="00331551" w:rsidRDefault="00127C12">
            <w:pPr>
              <w:spacing w:before="0" w:after="0"/>
              <w:jc w:val="center"/>
              <w:rPr>
                <w:b/>
                <w:szCs w:val="20"/>
              </w:rPr>
            </w:pPr>
            <w:r w:rsidRPr="00BD72B8">
              <w:rPr>
                <w:b/>
                <w:szCs w:val="20"/>
              </w:rPr>
              <w:t>2012 (no.)</w:t>
            </w:r>
          </w:p>
        </w:tc>
        <w:tc>
          <w:tcPr>
            <w:tcW w:w="1614" w:type="dxa"/>
            <w:shd w:val="clear" w:color="auto" w:fill="auto"/>
          </w:tcPr>
          <w:p w:rsidRPr="00BD72B8" w:rsidR="00127C12" w:rsidP="00331551" w:rsidRDefault="00127C12">
            <w:pPr>
              <w:spacing w:before="0" w:after="0"/>
              <w:jc w:val="center"/>
              <w:rPr>
                <w:b/>
                <w:szCs w:val="20"/>
              </w:rPr>
            </w:pPr>
            <w:r w:rsidRPr="00BD72B8">
              <w:rPr>
                <w:b/>
                <w:szCs w:val="20"/>
              </w:rPr>
              <w:t>2012 (%)</w:t>
            </w:r>
          </w:p>
        </w:tc>
        <w:tc>
          <w:tcPr>
            <w:tcW w:w="1602" w:type="dxa"/>
            <w:shd w:val="clear" w:color="auto" w:fill="auto"/>
          </w:tcPr>
          <w:p w:rsidRPr="00BD72B8" w:rsidR="00127C12" w:rsidP="00331551" w:rsidRDefault="00127C12">
            <w:pPr>
              <w:spacing w:before="0" w:after="0"/>
              <w:jc w:val="center"/>
              <w:rPr>
                <w:b/>
                <w:szCs w:val="20"/>
              </w:rPr>
            </w:pPr>
            <w:r w:rsidRPr="00BD72B8">
              <w:rPr>
                <w:b/>
                <w:szCs w:val="20"/>
              </w:rPr>
              <w:t>2017 (no.)</w:t>
            </w:r>
          </w:p>
        </w:tc>
        <w:tc>
          <w:tcPr>
            <w:tcW w:w="1603" w:type="dxa"/>
            <w:shd w:val="clear" w:color="auto" w:fill="auto"/>
          </w:tcPr>
          <w:p w:rsidRPr="00BD72B8" w:rsidR="00127C12" w:rsidP="00331551" w:rsidRDefault="00127C12">
            <w:pPr>
              <w:spacing w:before="0" w:after="0"/>
              <w:jc w:val="center"/>
              <w:rPr>
                <w:b/>
                <w:szCs w:val="20"/>
              </w:rPr>
            </w:pPr>
            <w:r w:rsidRPr="00BD72B8">
              <w:rPr>
                <w:b/>
                <w:szCs w:val="20"/>
              </w:rPr>
              <w:t>2017 (%)</w:t>
            </w:r>
          </w:p>
        </w:tc>
        <w:tc>
          <w:tcPr>
            <w:tcW w:w="1603" w:type="dxa"/>
            <w:shd w:val="clear" w:color="auto" w:fill="auto"/>
          </w:tcPr>
          <w:p w:rsidRPr="00BD72B8" w:rsidR="00127C12" w:rsidP="00331551" w:rsidRDefault="00127C12">
            <w:pPr>
              <w:spacing w:before="0" w:after="0"/>
              <w:jc w:val="center"/>
              <w:rPr>
                <w:b/>
                <w:szCs w:val="20"/>
              </w:rPr>
            </w:pPr>
            <w:r w:rsidRPr="00BD72B8">
              <w:rPr>
                <w:b/>
                <w:szCs w:val="20"/>
              </w:rPr>
              <w:t>Change</w:t>
            </w:r>
          </w:p>
          <w:p w:rsidRPr="00BD72B8" w:rsidR="00127C12" w:rsidP="00331551" w:rsidRDefault="00127C12">
            <w:pPr>
              <w:spacing w:before="0" w:after="0"/>
              <w:jc w:val="center"/>
              <w:rPr>
                <w:b/>
                <w:szCs w:val="20"/>
              </w:rPr>
            </w:pPr>
            <w:r w:rsidRPr="00BD72B8">
              <w:rPr>
                <w:b/>
                <w:szCs w:val="20"/>
              </w:rPr>
              <w:t>2012-17 (%)</w:t>
            </w:r>
          </w:p>
        </w:tc>
      </w:tr>
      <w:tr w:rsidRPr="00BD72B8" w:rsidR="00127C12" w:rsidTr="00331551">
        <w:tc>
          <w:tcPr>
            <w:tcW w:w="1613" w:type="dxa"/>
            <w:shd w:val="clear" w:color="auto" w:fill="auto"/>
          </w:tcPr>
          <w:p w:rsidRPr="00BD72B8" w:rsidR="00127C12" w:rsidP="002C7B4D" w:rsidRDefault="00127C12">
            <w:pPr>
              <w:pStyle w:val="Pa5"/>
              <w:rPr>
                <w:rFonts w:cs="VIC Light"/>
                <w:color w:val="000000"/>
                <w:sz w:val="20"/>
                <w:szCs w:val="20"/>
              </w:rPr>
            </w:pPr>
            <w:r w:rsidRPr="00BD72B8">
              <w:rPr>
                <w:rFonts w:cs="VIC Light"/>
                <w:color w:val="000000"/>
                <w:sz w:val="20"/>
                <w:szCs w:val="20"/>
              </w:rPr>
              <w:t xml:space="preserve">Other property offences </w:t>
            </w:r>
          </w:p>
        </w:tc>
        <w:tc>
          <w:tcPr>
            <w:tcW w:w="161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107</w:t>
            </w:r>
          </w:p>
        </w:tc>
        <w:tc>
          <w:tcPr>
            <w:tcW w:w="1614"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20.4</w:t>
            </w:r>
          </w:p>
        </w:tc>
        <w:tc>
          <w:tcPr>
            <w:tcW w:w="1602"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376</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28.0</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251.4</w:t>
            </w:r>
          </w:p>
        </w:tc>
      </w:tr>
      <w:tr w:rsidRPr="00BD72B8" w:rsidR="00127C12" w:rsidTr="00331551">
        <w:tc>
          <w:tcPr>
            <w:tcW w:w="1613" w:type="dxa"/>
            <w:shd w:val="clear" w:color="auto" w:fill="auto"/>
          </w:tcPr>
          <w:p w:rsidRPr="00BD72B8" w:rsidR="00127C12" w:rsidP="002C7B4D" w:rsidRDefault="00127C12">
            <w:pPr>
              <w:pStyle w:val="Pa5"/>
              <w:rPr>
                <w:rFonts w:cs="VIC Light"/>
                <w:color w:val="000000"/>
                <w:sz w:val="20"/>
                <w:szCs w:val="20"/>
              </w:rPr>
            </w:pPr>
            <w:r w:rsidRPr="00BD72B8">
              <w:rPr>
                <w:rFonts w:cs="VIC Light"/>
                <w:color w:val="000000"/>
                <w:sz w:val="20"/>
                <w:szCs w:val="20"/>
              </w:rPr>
              <w:t xml:space="preserve">Drug offences </w:t>
            </w:r>
          </w:p>
        </w:tc>
        <w:tc>
          <w:tcPr>
            <w:tcW w:w="161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115</w:t>
            </w:r>
          </w:p>
        </w:tc>
        <w:tc>
          <w:tcPr>
            <w:tcW w:w="1614"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21.9</w:t>
            </w:r>
          </w:p>
        </w:tc>
        <w:tc>
          <w:tcPr>
            <w:tcW w:w="1602"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273</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20.4</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137.4</w:t>
            </w:r>
          </w:p>
        </w:tc>
      </w:tr>
      <w:tr w:rsidRPr="00BD72B8" w:rsidR="00127C12" w:rsidTr="00331551">
        <w:tc>
          <w:tcPr>
            <w:tcW w:w="1613" w:type="dxa"/>
            <w:shd w:val="clear" w:color="auto" w:fill="auto"/>
          </w:tcPr>
          <w:p w:rsidRPr="00BD72B8" w:rsidR="00127C12" w:rsidP="002C7B4D" w:rsidRDefault="00127C12">
            <w:pPr>
              <w:pStyle w:val="Pa5"/>
              <w:rPr>
                <w:rFonts w:cs="VIC Light"/>
                <w:color w:val="000000"/>
                <w:sz w:val="20"/>
                <w:szCs w:val="20"/>
              </w:rPr>
            </w:pPr>
            <w:r w:rsidRPr="00BD72B8">
              <w:rPr>
                <w:rFonts w:cs="VIC Light"/>
                <w:color w:val="000000"/>
                <w:sz w:val="20"/>
                <w:szCs w:val="20"/>
              </w:rPr>
              <w:t xml:space="preserve">Burglary </w:t>
            </w:r>
          </w:p>
        </w:tc>
        <w:tc>
          <w:tcPr>
            <w:tcW w:w="161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79</w:t>
            </w:r>
          </w:p>
        </w:tc>
        <w:tc>
          <w:tcPr>
            <w:tcW w:w="1614"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15.0</w:t>
            </w:r>
          </w:p>
        </w:tc>
        <w:tc>
          <w:tcPr>
            <w:tcW w:w="1602"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201</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15.0</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154.4</w:t>
            </w:r>
          </w:p>
        </w:tc>
      </w:tr>
      <w:tr w:rsidRPr="00BD72B8" w:rsidR="00127C12" w:rsidTr="00331551">
        <w:tc>
          <w:tcPr>
            <w:tcW w:w="1613" w:type="dxa"/>
            <w:shd w:val="clear" w:color="auto" w:fill="auto"/>
          </w:tcPr>
          <w:p w:rsidRPr="00BD72B8" w:rsidR="00127C12" w:rsidP="002C7B4D" w:rsidRDefault="00127C12">
            <w:pPr>
              <w:pStyle w:val="Pa5"/>
              <w:rPr>
                <w:rFonts w:cs="VIC Light"/>
                <w:color w:val="000000"/>
                <w:sz w:val="20"/>
                <w:szCs w:val="20"/>
              </w:rPr>
            </w:pPr>
            <w:r w:rsidRPr="00BD72B8">
              <w:rPr>
                <w:rFonts w:cs="VIC Light"/>
                <w:color w:val="000000"/>
                <w:sz w:val="20"/>
                <w:szCs w:val="20"/>
              </w:rPr>
              <w:t xml:space="preserve">Assault </w:t>
            </w:r>
          </w:p>
        </w:tc>
        <w:tc>
          <w:tcPr>
            <w:tcW w:w="161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79</w:t>
            </w:r>
          </w:p>
        </w:tc>
        <w:tc>
          <w:tcPr>
            <w:tcW w:w="1614"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15.0</w:t>
            </w:r>
          </w:p>
        </w:tc>
        <w:tc>
          <w:tcPr>
            <w:tcW w:w="1602"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184</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13.7</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133.0</w:t>
            </w:r>
          </w:p>
        </w:tc>
      </w:tr>
      <w:tr w:rsidRPr="00BD72B8" w:rsidR="00127C12" w:rsidTr="00331551">
        <w:tc>
          <w:tcPr>
            <w:tcW w:w="1613" w:type="dxa"/>
            <w:shd w:val="clear" w:color="auto" w:fill="auto"/>
          </w:tcPr>
          <w:p w:rsidRPr="00BD72B8" w:rsidR="00127C12" w:rsidP="002C7B4D" w:rsidRDefault="00127C12">
            <w:pPr>
              <w:pStyle w:val="Pa5"/>
              <w:rPr>
                <w:rFonts w:cs="VIC Light"/>
                <w:color w:val="000000"/>
                <w:sz w:val="20"/>
                <w:szCs w:val="20"/>
              </w:rPr>
            </w:pPr>
            <w:r w:rsidRPr="00BD72B8">
              <w:rPr>
                <w:rFonts w:cs="VIC Light"/>
                <w:color w:val="000000"/>
                <w:sz w:val="20"/>
                <w:szCs w:val="20"/>
              </w:rPr>
              <w:t xml:space="preserve">Breach of order </w:t>
            </w:r>
          </w:p>
        </w:tc>
        <w:tc>
          <w:tcPr>
            <w:tcW w:w="161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20</w:t>
            </w:r>
          </w:p>
        </w:tc>
        <w:tc>
          <w:tcPr>
            <w:tcW w:w="1614"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3.8</w:t>
            </w:r>
          </w:p>
        </w:tc>
        <w:tc>
          <w:tcPr>
            <w:tcW w:w="1602"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146</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10.9</w:t>
            </w:r>
          </w:p>
        </w:tc>
        <w:tc>
          <w:tcPr>
            <w:tcW w:w="1603" w:type="dxa"/>
            <w:shd w:val="clear" w:color="auto" w:fill="auto"/>
          </w:tcPr>
          <w:p w:rsidRPr="00BD72B8" w:rsidR="00127C12" w:rsidP="00331551" w:rsidRDefault="00127C12">
            <w:pPr>
              <w:pStyle w:val="Pa20"/>
              <w:jc w:val="center"/>
              <w:rPr>
                <w:rFonts w:cs="VIC Light"/>
                <w:color w:val="000000"/>
                <w:sz w:val="20"/>
                <w:szCs w:val="20"/>
              </w:rPr>
            </w:pPr>
            <w:r w:rsidRPr="00BD72B8">
              <w:rPr>
                <w:rFonts w:cs="VIC Light"/>
                <w:color w:val="000000"/>
                <w:sz w:val="20"/>
                <w:szCs w:val="20"/>
              </w:rPr>
              <w:t>630.0</w:t>
            </w:r>
          </w:p>
        </w:tc>
      </w:tr>
    </w:tbl>
    <w:p w:rsidR="00127C12" w:rsidP="00127C12" w:rsidRDefault="00127C12">
      <w:r w:rsidRPr="00127C12">
        <w:t>In 2017, 69 per cent of female prisoners on remand had children. Between 2012 and 2017, the proportion of mothers who reported being primary carers for dependent children decreased from 37 per cent to 21 per cent. This compares with 14 per cent of fathers received on remand who reported being a primary carer in 2017.</w:t>
      </w:r>
    </w:p>
    <w:p w:rsidR="00D93D51" w:rsidP="00D93D51" w:rsidRDefault="00D93D51">
      <w:pPr>
        <w:pStyle w:val="Heading1"/>
      </w:pPr>
      <w:r>
        <w:t>KEY ISSUES FACING WOMEN ON REMAND</w:t>
      </w:r>
    </w:p>
    <w:p w:rsidR="00D93D51" w:rsidP="00D93D51" w:rsidRDefault="00D93D51">
      <w:r>
        <w:t>Women in prison often present with complex histories. Many female prisoners have been victims of abuse and trauma, which affects the types of interventions, supports and services that need to be provided during their time in custody.</w:t>
      </w:r>
    </w:p>
    <w:p w:rsidR="00D93D51" w:rsidP="00D93D51" w:rsidRDefault="00D93D51">
      <w:r>
        <w:t>In 2015 and 2016, Corrections Victoria surveyed 1,932 women entering prison on remand at the Dame Phyllis Frost Centre. The findings highlight some of the challenges faced by these women before they entered prison.</w:t>
      </w:r>
      <w:r w:rsidR="00C439A5">
        <w:rPr>
          <w:rStyle w:val="FootnoteReference"/>
        </w:rPr>
        <w:footnoteReference w:id="1"/>
      </w:r>
    </w:p>
    <w:p w:rsidR="00D93D51" w:rsidP="00C439A5" w:rsidRDefault="00D93D51">
      <w:pPr>
        <w:pStyle w:val="Heading2"/>
      </w:pPr>
      <w:r>
        <w:t>Housing instability is common among women entering prison on remand</w:t>
      </w:r>
    </w:p>
    <w:p w:rsidR="00D93D51" w:rsidP="00D93D51" w:rsidRDefault="00D93D51">
      <w:r>
        <w:t>Housing instability is far more common among women entering prison on remand than</w:t>
      </w:r>
      <w:r w:rsidR="00C439A5">
        <w:t xml:space="preserve"> </w:t>
      </w:r>
      <w:r>
        <w:t>the general population. Only 0.4 per cent of Victorians are estimated to be homeless.</w:t>
      </w:r>
      <w:r w:rsidR="00C439A5">
        <w:rPr>
          <w:rStyle w:val="FootnoteReference"/>
        </w:rPr>
        <w:footnoteReference w:id="2"/>
      </w:r>
    </w:p>
    <w:p w:rsidR="00127C12" w:rsidP="00D93D51" w:rsidRDefault="00D93D51">
      <w:r>
        <w:t>In contrast, approximately one in four women (26 per cent) entering prison on remand who</w:t>
      </w:r>
      <w:r w:rsidR="00C439A5">
        <w:t xml:space="preserve"> </w:t>
      </w:r>
      <w:r>
        <w:t>were surveyed in 2015 and 2016 reported experiencing homelessness or housing instability</w:t>
      </w:r>
      <w:r w:rsidR="00C439A5">
        <w:t xml:space="preserve"> </w:t>
      </w:r>
      <w:r>
        <w:t xml:space="preserve">before </w:t>
      </w:r>
      <w:r>
        <w:lastRenderedPageBreak/>
        <w:t>coming to prison. Aboriginal women were less likely to be in stable housing than</w:t>
      </w:r>
      <w:r w:rsidR="00C439A5">
        <w:t xml:space="preserve"> </w:t>
      </w:r>
      <w:r>
        <w:t>non-Aboriginal women</w:t>
      </w:r>
      <w:r w:rsidR="002C7B4D">
        <w:t>.</w:t>
      </w:r>
    </w:p>
    <w:p w:rsidR="002C7B4D" w:rsidP="00D93D51" w:rsidRDefault="002C7B4D">
      <w:pPr>
        <w:rPr>
          <w:b/>
        </w:rPr>
      </w:pPr>
      <w:r w:rsidRPr="002C7B4D">
        <w:rPr>
          <w:b/>
        </w:rPr>
        <w:t>Housing situation prior to imprisonment</w:t>
      </w:r>
      <w:r>
        <w:rPr>
          <w:b/>
        </w:rPr>
        <w:t xml:space="preserve"> for women entering remand</w:t>
      </w:r>
      <w:r w:rsidRPr="002C7B4D">
        <w:rPr>
          <w:b/>
        </w:rPr>
        <w:t>, by Aboriginal status, 2015 and 2016</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Housing situation prior to imprisonment for women entering remand, by Aboriginal status, 2015 and 2016"/>
      </w:tblPr>
      <w:tblGrid>
        <w:gridCol w:w="5083"/>
        <w:gridCol w:w="2567"/>
        <w:gridCol w:w="1978"/>
      </w:tblGrid>
      <w:tr w:rsidRPr="00331551" w:rsidR="002C7B4D" w:rsidTr="00331551">
        <w:trPr>
          <w:tblHeader/>
        </w:trPr>
        <w:tc>
          <w:tcPr>
            <w:tcW w:w="2640" w:type="pct"/>
            <w:shd w:val="clear" w:color="auto" w:fill="auto"/>
          </w:tcPr>
          <w:p w:rsidRPr="00BD72B8" w:rsidR="002C7B4D" w:rsidP="00331551" w:rsidRDefault="002C7B4D">
            <w:pPr>
              <w:spacing w:before="0" w:after="0"/>
              <w:rPr>
                <w:b/>
                <w:szCs w:val="20"/>
              </w:rPr>
            </w:pPr>
            <w:r w:rsidRPr="00BD72B8">
              <w:rPr>
                <w:b/>
                <w:szCs w:val="20"/>
              </w:rPr>
              <w:t>Housing situation</w:t>
            </w:r>
          </w:p>
        </w:tc>
        <w:tc>
          <w:tcPr>
            <w:tcW w:w="1333" w:type="pct"/>
            <w:shd w:val="clear" w:color="auto" w:fill="auto"/>
          </w:tcPr>
          <w:p w:rsidRPr="00BD72B8" w:rsidR="002C7B4D" w:rsidP="00331551" w:rsidRDefault="002C7B4D">
            <w:pPr>
              <w:spacing w:before="0" w:after="0"/>
              <w:jc w:val="center"/>
              <w:rPr>
                <w:b/>
                <w:szCs w:val="20"/>
              </w:rPr>
            </w:pPr>
            <w:r w:rsidRPr="00BD72B8">
              <w:rPr>
                <w:b/>
                <w:szCs w:val="20"/>
              </w:rPr>
              <w:t>Aboriginal</w:t>
            </w:r>
          </w:p>
        </w:tc>
        <w:tc>
          <w:tcPr>
            <w:tcW w:w="1027" w:type="pct"/>
            <w:shd w:val="clear" w:color="auto" w:fill="auto"/>
          </w:tcPr>
          <w:p w:rsidRPr="00BD72B8" w:rsidR="002C7B4D" w:rsidP="00331551" w:rsidRDefault="002C7B4D">
            <w:pPr>
              <w:spacing w:before="0" w:after="0"/>
              <w:jc w:val="center"/>
              <w:rPr>
                <w:b/>
                <w:szCs w:val="20"/>
              </w:rPr>
            </w:pPr>
            <w:r w:rsidRPr="00BD72B8">
              <w:rPr>
                <w:rFonts w:cs="VIC"/>
                <w:b/>
                <w:color w:val="000000"/>
                <w:szCs w:val="20"/>
              </w:rPr>
              <w:t>Non-Aboriginal</w:t>
            </w:r>
          </w:p>
        </w:tc>
      </w:tr>
      <w:tr w:rsidRPr="00331551" w:rsidR="002C7B4D" w:rsidTr="00331551">
        <w:tc>
          <w:tcPr>
            <w:tcW w:w="2640" w:type="pct"/>
            <w:shd w:val="clear" w:color="auto" w:fill="auto"/>
          </w:tcPr>
          <w:p w:rsidRPr="00331551" w:rsidR="002C7B4D" w:rsidP="00331551" w:rsidRDefault="002C7B4D">
            <w:pPr>
              <w:spacing w:before="0" w:after="0"/>
              <w:rPr>
                <w:sz w:val="20"/>
                <w:szCs w:val="20"/>
              </w:rPr>
            </w:pPr>
            <w:r w:rsidRPr="00331551">
              <w:rPr>
                <w:sz w:val="20"/>
                <w:szCs w:val="20"/>
              </w:rPr>
              <w:t>Stable housing</w:t>
            </w:r>
          </w:p>
        </w:tc>
        <w:tc>
          <w:tcPr>
            <w:tcW w:w="1333" w:type="pct"/>
            <w:shd w:val="clear" w:color="auto" w:fill="auto"/>
          </w:tcPr>
          <w:p w:rsidRPr="00331551" w:rsidR="002C7B4D" w:rsidP="00331551" w:rsidRDefault="002C7B4D">
            <w:pPr>
              <w:spacing w:before="0" w:after="0"/>
              <w:jc w:val="center"/>
              <w:rPr>
                <w:sz w:val="20"/>
                <w:szCs w:val="20"/>
              </w:rPr>
            </w:pPr>
            <w:r w:rsidRPr="00331551">
              <w:rPr>
                <w:sz w:val="20"/>
                <w:szCs w:val="20"/>
              </w:rPr>
              <w:t>60%</w:t>
            </w:r>
          </w:p>
        </w:tc>
        <w:tc>
          <w:tcPr>
            <w:tcW w:w="1027" w:type="pct"/>
            <w:shd w:val="clear" w:color="auto" w:fill="auto"/>
          </w:tcPr>
          <w:p w:rsidRPr="00331551" w:rsidR="002C7B4D" w:rsidP="00331551" w:rsidRDefault="002C7B4D">
            <w:pPr>
              <w:spacing w:before="0" w:after="0"/>
              <w:jc w:val="center"/>
              <w:rPr>
                <w:sz w:val="20"/>
                <w:szCs w:val="20"/>
              </w:rPr>
            </w:pPr>
            <w:r w:rsidRPr="00331551">
              <w:rPr>
                <w:sz w:val="20"/>
                <w:szCs w:val="20"/>
              </w:rPr>
              <w:t>73%</w:t>
            </w:r>
          </w:p>
        </w:tc>
      </w:tr>
      <w:tr w:rsidRPr="00331551" w:rsidR="002C7B4D" w:rsidTr="00331551">
        <w:tc>
          <w:tcPr>
            <w:tcW w:w="2640" w:type="pct"/>
            <w:shd w:val="clear" w:color="auto" w:fill="auto"/>
          </w:tcPr>
          <w:p w:rsidRPr="00331551" w:rsidR="002C7B4D" w:rsidP="00331551" w:rsidRDefault="002C7B4D">
            <w:pPr>
              <w:spacing w:before="0" w:after="0"/>
              <w:rPr>
                <w:sz w:val="20"/>
                <w:szCs w:val="20"/>
              </w:rPr>
            </w:pPr>
            <w:r w:rsidRPr="00331551">
              <w:rPr>
                <w:sz w:val="20"/>
                <w:szCs w:val="20"/>
              </w:rPr>
              <w:t>Unstable housing</w:t>
            </w:r>
          </w:p>
        </w:tc>
        <w:tc>
          <w:tcPr>
            <w:tcW w:w="1333" w:type="pct"/>
            <w:shd w:val="clear" w:color="auto" w:fill="auto"/>
          </w:tcPr>
          <w:p w:rsidRPr="00331551" w:rsidR="002C7B4D" w:rsidP="00331551" w:rsidRDefault="002C7B4D">
            <w:pPr>
              <w:spacing w:before="0" w:after="0"/>
              <w:jc w:val="center"/>
              <w:rPr>
                <w:sz w:val="20"/>
                <w:szCs w:val="20"/>
              </w:rPr>
            </w:pPr>
            <w:r w:rsidRPr="00331551">
              <w:rPr>
                <w:sz w:val="20"/>
                <w:szCs w:val="20"/>
              </w:rPr>
              <w:t>17%</w:t>
            </w:r>
          </w:p>
        </w:tc>
        <w:tc>
          <w:tcPr>
            <w:tcW w:w="1027" w:type="pct"/>
            <w:shd w:val="clear" w:color="auto" w:fill="auto"/>
          </w:tcPr>
          <w:p w:rsidRPr="00331551" w:rsidR="002C7B4D" w:rsidP="00331551" w:rsidRDefault="002C7B4D">
            <w:pPr>
              <w:spacing w:before="0" w:after="0"/>
              <w:jc w:val="center"/>
              <w:rPr>
                <w:sz w:val="20"/>
                <w:szCs w:val="20"/>
              </w:rPr>
            </w:pPr>
            <w:r w:rsidRPr="00331551">
              <w:rPr>
                <w:sz w:val="20"/>
                <w:szCs w:val="20"/>
              </w:rPr>
              <w:t>13%</w:t>
            </w:r>
          </w:p>
        </w:tc>
      </w:tr>
      <w:tr w:rsidRPr="00331551" w:rsidR="002C7B4D" w:rsidTr="00331551">
        <w:tc>
          <w:tcPr>
            <w:tcW w:w="2640" w:type="pct"/>
            <w:shd w:val="clear" w:color="auto" w:fill="auto"/>
          </w:tcPr>
          <w:p w:rsidRPr="00331551" w:rsidR="002C7B4D" w:rsidP="00331551" w:rsidRDefault="002C7B4D">
            <w:pPr>
              <w:spacing w:before="0" w:after="0"/>
              <w:rPr>
                <w:sz w:val="20"/>
                <w:szCs w:val="20"/>
              </w:rPr>
            </w:pPr>
            <w:r w:rsidRPr="00331551">
              <w:rPr>
                <w:sz w:val="20"/>
                <w:szCs w:val="20"/>
              </w:rPr>
              <w:t>Homeless</w:t>
            </w:r>
          </w:p>
        </w:tc>
        <w:tc>
          <w:tcPr>
            <w:tcW w:w="1333" w:type="pct"/>
            <w:shd w:val="clear" w:color="auto" w:fill="auto"/>
          </w:tcPr>
          <w:p w:rsidRPr="00331551" w:rsidR="002C7B4D" w:rsidP="00331551" w:rsidRDefault="002C7B4D">
            <w:pPr>
              <w:spacing w:before="0" w:after="0"/>
              <w:jc w:val="center"/>
              <w:rPr>
                <w:sz w:val="20"/>
                <w:szCs w:val="20"/>
              </w:rPr>
            </w:pPr>
            <w:r w:rsidRPr="00331551">
              <w:rPr>
                <w:sz w:val="20"/>
                <w:szCs w:val="20"/>
              </w:rPr>
              <w:t>18%</w:t>
            </w:r>
          </w:p>
        </w:tc>
        <w:tc>
          <w:tcPr>
            <w:tcW w:w="1027" w:type="pct"/>
            <w:shd w:val="clear" w:color="auto" w:fill="auto"/>
          </w:tcPr>
          <w:p w:rsidRPr="00331551" w:rsidR="002C7B4D" w:rsidP="00331551" w:rsidRDefault="002C7B4D">
            <w:pPr>
              <w:spacing w:before="0" w:after="0"/>
              <w:jc w:val="center"/>
              <w:rPr>
                <w:sz w:val="20"/>
                <w:szCs w:val="20"/>
              </w:rPr>
            </w:pPr>
            <w:r w:rsidRPr="00331551">
              <w:rPr>
                <w:sz w:val="20"/>
                <w:szCs w:val="20"/>
              </w:rPr>
              <w:t>11%</w:t>
            </w:r>
          </w:p>
        </w:tc>
      </w:tr>
      <w:tr w:rsidRPr="00331551" w:rsidR="002C7B4D" w:rsidTr="00331551">
        <w:tc>
          <w:tcPr>
            <w:tcW w:w="2640" w:type="pct"/>
            <w:shd w:val="clear" w:color="auto" w:fill="auto"/>
          </w:tcPr>
          <w:p w:rsidRPr="00331551" w:rsidR="002C7B4D" w:rsidP="00331551" w:rsidRDefault="002C7B4D">
            <w:pPr>
              <w:spacing w:before="0" w:after="0"/>
              <w:rPr>
                <w:sz w:val="20"/>
                <w:szCs w:val="20"/>
              </w:rPr>
            </w:pPr>
            <w:r w:rsidRPr="00331551">
              <w:rPr>
                <w:sz w:val="20"/>
                <w:szCs w:val="20"/>
              </w:rPr>
              <w:t>Unknown</w:t>
            </w:r>
          </w:p>
        </w:tc>
        <w:tc>
          <w:tcPr>
            <w:tcW w:w="1333" w:type="pct"/>
            <w:shd w:val="clear" w:color="auto" w:fill="auto"/>
          </w:tcPr>
          <w:p w:rsidRPr="00331551" w:rsidR="002C7B4D" w:rsidP="00331551" w:rsidRDefault="002C7B4D">
            <w:pPr>
              <w:spacing w:before="0" w:after="0"/>
              <w:jc w:val="center"/>
              <w:rPr>
                <w:sz w:val="20"/>
                <w:szCs w:val="20"/>
              </w:rPr>
            </w:pPr>
            <w:r w:rsidRPr="00331551">
              <w:rPr>
                <w:sz w:val="20"/>
                <w:szCs w:val="20"/>
              </w:rPr>
              <w:t>5%</w:t>
            </w:r>
          </w:p>
        </w:tc>
        <w:tc>
          <w:tcPr>
            <w:tcW w:w="1027" w:type="pct"/>
            <w:shd w:val="clear" w:color="auto" w:fill="auto"/>
          </w:tcPr>
          <w:p w:rsidRPr="00331551" w:rsidR="002C7B4D" w:rsidP="00331551" w:rsidRDefault="002C7B4D">
            <w:pPr>
              <w:spacing w:before="0" w:after="0"/>
              <w:jc w:val="center"/>
              <w:rPr>
                <w:sz w:val="20"/>
                <w:szCs w:val="20"/>
              </w:rPr>
            </w:pPr>
            <w:r w:rsidRPr="00331551">
              <w:rPr>
                <w:sz w:val="20"/>
                <w:szCs w:val="20"/>
              </w:rPr>
              <w:t>3%</w:t>
            </w:r>
          </w:p>
        </w:tc>
      </w:tr>
    </w:tbl>
    <w:p w:rsidRPr="00E244A4" w:rsidR="00E244A4" w:rsidP="00E244A4" w:rsidRDefault="00E244A4">
      <w:pPr>
        <w:pStyle w:val="Heading1"/>
      </w:pPr>
      <w:r w:rsidRPr="00E244A4">
        <w:t>Drug abuse prior to entering prison on remand is common</w:t>
      </w:r>
    </w:p>
    <w:p w:rsidRPr="00E244A4" w:rsidR="00E244A4" w:rsidP="00E244A4" w:rsidRDefault="00E244A4">
      <w:r w:rsidRPr="00E244A4">
        <w:t>Research has shown that many women in prison have been victims of physical, sexual and/or family violence, and that self-medication with legal and illicit drugs in response to their trauma is common.</w:t>
      </w:r>
      <w:r>
        <w:rPr>
          <w:rStyle w:val="FootnoteReference"/>
        </w:rPr>
        <w:footnoteReference w:id="3"/>
      </w:r>
    </w:p>
    <w:p w:rsidRPr="00E244A4" w:rsidR="00E244A4" w:rsidP="00E244A4" w:rsidRDefault="00E244A4">
      <w:r w:rsidRPr="00E244A4">
        <w:t>Consistent with this, drug abuse prior to entering prison on remand was common among women surveyed:</w:t>
      </w:r>
    </w:p>
    <w:p w:rsidR="002C7B4D" w:rsidP="00E244A4" w:rsidRDefault="00E244A4">
      <w:pPr>
        <w:numPr>
          <w:ilvl w:val="0"/>
          <w:numId w:val="18"/>
        </w:numPr>
      </w:pPr>
      <w:r w:rsidRPr="00E244A4">
        <w:t>Almost two-thirds (61 per cent) of women reported using drugs daily prior to entering prison. One in ten (eight per cent) reported using drugs a few times a week, eight per cent reported being occasional users and one in five (20 per cent) reported that they had not used drugs before entering prison</w:t>
      </w:r>
      <w:r w:rsidR="00E07ABE">
        <w:t>.</w:t>
      </w:r>
    </w:p>
    <w:p w:rsidR="00E07ABE" w:rsidP="00E07ABE" w:rsidRDefault="00E07ABE">
      <w:pPr>
        <w:rPr>
          <w:b/>
        </w:rPr>
      </w:pPr>
      <w:r w:rsidRPr="00E07ABE">
        <w:rPr>
          <w:b/>
        </w:rPr>
        <w:t>Reported drug use of women entering prison on remand, 2015 and 2016</w:t>
      </w:r>
    </w:p>
    <w:tbl>
      <w:tblPr>
        <w:tblW w:w="3973"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Reported drug use of women entering prison on remand, 2015 and 2016"/>
      </w:tblPr>
      <w:tblGrid>
        <w:gridCol w:w="5083"/>
        <w:gridCol w:w="2567"/>
      </w:tblGrid>
      <w:tr w:rsidRPr="00331551" w:rsidR="00E07ABE" w:rsidTr="00331551">
        <w:trPr>
          <w:tblHeader/>
        </w:trPr>
        <w:tc>
          <w:tcPr>
            <w:tcW w:w="3322" w:type="pct"/>
            <w:shd w:val="clear" w:color="auto" w:fill="auto"/>
          </w:tcPr>
          <w:p w:rsidRPr="00BD72B8" w:rsidR="00E07ABE" w:rsidP="00331551" w:rsidRDefault="00E07ABE">
            <w:pPr>
              <w:spacing w:before="0" w:after="0"/>
              <w:rPr>
                <w:b/>
                <w:szCs w:val="20"/>
              </w:rPr>
            </w:pPr>
            <w:r w:rsidRPr="00BD72B8">
              <w:rPr>
                <w:b/>
                <w:szCs w:val="20"/>
              </w:rPr>
              <w:t>Frequency of drug use</w:t>
            </w:r>
          </w:p>
        </w:tc>
        <w:tc>
          <w:tcPr>
            <w:tcW w:w="1678" w:type="pct"/>
            <w:shd w:val="clear" w:color="auto" w:fill="auto"/>
          </w:tcPr>
          <w:p w:rsidRPr="00BD72B8" w:rsidR="00E07ABE" w:rsidP="00331551" w:rsidRDefault="00E07ABE">
            <w:pPr>
              <w:spacing w:before="0" w:after="0"/>
              <w:jc w:val="center"/>
              <w:rPr>
                <w:b/>
                <w:szCs w:val="20"/>
              </w:rPr>
            </w:pPr>
            <w:r w:rsidRPr="00BD72B8">
              <w:rPr>
                <w:b/>
                <w:szCs w:val="20"/>
              </w:rPr>
              <w:t xml:space="preserve">Proportion </w:t>
            </w:r>
          </w:p>
        </w:tc>
      </w:tr>
      <w:tr w:rsidRPr="00331551" w:rsidR="00E07ABE" w:rsidTr="00331551">
        <w:tc>
          <w:tcPr>
            <w:tcW w:w="3322" w:type="pct"/>
            <w:shd w:val="clear" w:color="auto" w:fill="auto"/>
          </w:tcPr>
          <w:p w:rsidRPr="00331551" w:rsidR="00E07ABE" w:rsidP="00331551" w:rsidRDefault="00E07ABE">
            <w:pPr>
              <w:spacing w:before="0" w:after="0"/>
              <w:rPr>
                <w:sz w:val="20"/>
                <w:szCs w:val="20"/>
              </w:rPr>
            </w:pPr>
            <w:r w:rsidRPr="00331551">
              <w:rPr>
                <w:sz w:val="20"/>
                <w:szCs w:val="20"/>
              </w:rPr>
              <w:t>No drug use</w:t>
            </w:r>
          </w:p>
        </w:tc>
        <w:tc>
          <w:tcPr>
            <w:tcW w:w="1678" w:type="pct"/>
            <w:shd w:val="clear" w:color="auto" w:fill="auto"/>
          </w:tcPr>
          <w:p w:rsidRPr="00331551" w:rsidR="00E07ABE" w:rsidP="00331551" w:rsidRDefault="00E07ABE">
            <w:pPr>
              <w:spacing w:before="0" w:after="0"/>
              <w:jc w:val="center"/>
              <w:rPr>
                <w:sz w:val="20"/>
                <w:szCs w:val="20"/>
              </w:rPr>
            </w:pPr>
            <w:r w:rsidRPr="00331551">
              <w:rPr>
                <w:sz w:val="20"/>
                <w:szCs w:val="20"/>
              </w:rPr>
              <w:t>20%</w:t>
            </w:r>
          </w:p>
        </w:tc>
      </w:tr>
      <w:tr w:rsidRPr="00331551" w:rsidR="00E07ABE" w:rsidTr="00331551">
        <w:tc>
          <w:tcPr>
            <w:tcW w:w="3322" w:type="pct"/>
            <w:shd w:val="clear" w:color="auto" w:fill="auto"/>
          </w:tcPr>
          <w:p w:rsidRPr="00331551" w:rsidR="00E07ABE" w:rsidP="00331551" w:rsidRDefault="00E07ABE">
            <w:pPr>
              <w:spacing w:before="0" w:after="0"/>
              <w:rPr>
                <w:sz w:val="20"/>
                <w:szCs w:val="20"/>
              </w:rPr>
            </w:pPr>
            <w:r w:rsidRPr="00331551">
              <w:rPr>
                <w:sz w:val="20"/>
                <w:szCs w:val="20"/>
              </w:rPr>
              <w:t>Occasional use</w:t>
            </w:r>
          </w:p>
        </w:tc>
        <w:tc>
          <w:tcPr>
            <w:tcW w:w="1678" w:type="pct"/>
            <w:shd w:val="clear" w:color="auto" w:fill="auto"/>
          </w:tcPr>
          <w:p w:rsidRPr="00331551" w:rsidR="00E07ABE" w:rsidP="00331551" w:rsidRDefault="00E07ABE">
            <w:pPr>
              <w:spacing w:before="0" w:after="0"/>
              <w:jc w:val="center"/>
              <w:rPr>
                <w:sz w:val="20"/>
                <w:szCs w:val="20"/>
              </w:rPr>
            </w:pPr>
            <w:r w:rsidRPr="00331551">
              <w:rPr>
                <w:sz w:val="20"/>
                <w:szCs w:val="20"/>
              </w:rPr>
              <w:t>8%</w:t>
            </w:r>
          </w:p>
        </w:tc>
      </w:tr>
      <w:tr w:rsidRPr="00331551" w:rsidR="00E07ABE" w:rsidTr="00331551">
        <w:tc>
          <w:tcPr>
            <w:tcW w:w="3322" w:type="pct"/>
            <w:shd w:val="clear" w:color="auto" w:fill="auto"/>
          </w:tcPr>
          <w:p w:rsidRPr="00331551" w:rsidR="00E07ABE" w:rsidP="00331551" w:rsidRDefault="00E07ABE">
            <w:pPr>
              <w:spacing w:before="0" w:after="0"/>
              <w:rPr>
                <w:sz w:val="20"/>
                <w:szCs w:val="20"/>
              </w:rPr>
            </w:pPr>
            <w:r w:rsidRPr="00331551">
              <w:rPr>
                <w:sz w:val="20"/>
                <w:szCs w:val="20"/>
              </w:rPr>
              <w:t>Few times a week</w:t>
            </w:r>
          </w:p>
        </w:tc>
        <w:tc>
          <w:tcPr>
            <w:tcW w:w="1678" w:type="pct"/>
            <w:shd w:val="clear" w:color="auto" w:fill="auto"/>
          </w:tcPr>
          <w:p w:rsidRPr="00331551" w:rsidR="00E07ABE" w:rsidP="00331551" w:rsidRDefault="00E07ABE">
            <w:pPr>
              <w:spacing w:before="0" w:after="0"/>
              <w:jc w:val="center"/>
              <w:rPr>
                <w:sz w:val="20"/>
                <w:szCs w:val="20"/>
              </w:rPr>
            </w:pPr>
            <w:r w:rsidRPr="00331551">
              <w:rPr>
                <w:sz w:val="20"/>
                <w:szCs w:val="20"/>
              </w:rPr>
              <w:t>8%</w:t>
            </w:r>
          </w:p>
        </w:tc>
      </w:tr>
      <w:tr w:rsidRPr="00331551" w:rsidR="00E07ABE" w:rsidTr="00331551">
        <w:tc>
          <w:tcPr>
            <w:tcW w:w="3322" w:type="pct"/>
            <w:shd w:val="clear" w:color="auto" w:fill="auto"/>
          </w:tcPr>
          <w:p w:rsidRPr="00331551" w:rsidR="00E07ABE" w:rsidP="00331551" w:rsidRDefault="00E07ABE">
            <w:pPr>
              <w:spacing w:before="0" w:after="0"/>
              <w:rPr>
                <w:sz w:val="20"/>
                <w:szCs w:val="20"/>
              </w:rPr>
            </w:pPr>
            <w:r w:rsidRPr="00331551">
              <w:rPr>
                <w:sz w:val="20"/>
                <w:szCs w:val="20"/>
              </w:rPr>
              <w:t xml:space="preserve">Daily use </w:t>
            </w:r>
          </w:p>
        </w:tc>
        <w:tc>
          <w:tcPr>
            <w:tcW w:w="1678" w:type="pct"/>
            <w:shd w:val="clear" w:color="auto" w:fill="auto"/>
          </w:tcPr>
          <w:p w:rsidRPr="00331551" w:rsidR="00E07ABE" w:rsidP="00331551" w:rsidRDefault="00E07ABE">
            <w:pPr>
              <w:spacing w:before="0" w:after="0"/>
              <w:jc w:val="center"/>
              <w:rPr>
                <w:sz w:val="20"/>
                <w:szCs w:val="20"/>
              </w:rPr>
            </w:pPr>
            <w:r w:rsidRPr="00331551">
              <w:rPr>
                <w:sz w:val="20"/>
                <w:szCs w:val="20"/>
              </w:rPr>
              <w:t>61%</w:t>
            </w:r>
          </w:p>
        </w:tc>
      </w:tr>
    </w:tbl>
    <w:p w:rsidRPr="00E07ABE" w:rsidR="00E07ABE" w:rsidP="00E07ABE" w:rsidRDefault="00E07ABE">
      <w:pPr>
        <w:numPr>
          <w:ilvl w:val="0"/>
          <w:numId w:val="18"/>
        </w:numPr>
      </w:pPr>
      <w:r w:rsidRPr="00E07ABE">
        <w:t>Among daily drug users, ice was by far the most commonly used drug (72 per cent), followed by heroin (36 per cent) and cannabis (32 per cent).</w:t>
      </w:r>
      <w:r>
        <w:rPr>
          <w:rStyle w:val="FootnoteReference"/>
        </w:rPr>
        <w:footnoteReference w:id="4"/>
      </w:r>
    </w:p>
    <w:p w:rsidRPr="00E07ABE" w:rsidR="00E07ABE" w:rsidP="00E07ABE" w:rsidRDefault="00E07ABE">
      <w:pPr>
        <w:numPr>
          <w:ilvl w:val="0"/>
          <w:numId w:val="18"/>
        </w:numPr>
      </w:pPr>
      <w:r w:rsidRPr="00E07ABE">
        <w:t>Almost three-quarters of Aboriginal women (72 per cent) reported having used drugs daily before entering prison (compared to 59 per cent of non-Aboriginal women).</w:t>
      </w:r>
    </w:p>
    <w:p w:rsidRPr="00E07ABE" w:rsidR="00E07ABE" w:rsidP="00E07ABE" w:rsidRDefault="00E07ABE">
      <w:pPr>
        <w:numPr>
          <w:ilvl w:val="0"/>
          <w:numId w:val="18"/>
        </w:numPr>
      </w:pPr>
      <w:r w:rsidRPr="00E07ABE">
        <w:t>Women who had previously served a prison sentence were more likely to report having used drugs daily before entering prison than women who had not been sentenced to prison before (65 and 58 per cent respectively).</w:t>
      </w:r>
    </w:p>
    <w:p w:rsidRPr="00E07ABE" w:rsidR="00E07ABE" w:rsidP="00E07ABE" w:rsidRDefault="00E07ABE">
      <w:pPr>
        <w:pStyle w:val="Heading2"/>
      </w:pPr>
      <w:r w:rsidRPr="00E07ABE">
        <w:t>Heavy drug use is associated with certain offences</w:t>
      </w:r>
    </w:p>
    <w:p w:rsidRPr="00E07ABE" w:rsidR="00E07ABE" w:rsidP="00E07ABE" w:rsidRDefault="00E07ABE">
      <w:r w:rsidRPr="00E07ABE">
        <w:t>Between 2012 and 2017 there were substantial increases in the number of women remanded for burglary, drug offences and other property offences, and by 2016, these offence types accounted for 63 per cent of women entering prison.</w:t>
      </w:r>
    </w:p>
    <w:p w:rsidRPr="00E07ABE" w:rsidR="00E07ABE" w:rsidP="00E07ABE" w:rsidRDefault="00E07ABE">
      <w:r w:rsidRPr="00E07ABE">
        <w:lastRenderedPageBreak/>
        <w:t>Differences in the MSC category for women remanded to custody emerged between heavy drug users and those who did not use drugs, with a greater proportion of women remanded for burglary, drug offences, other property offences and robbery and extortion reporting heavy drug use.</w:t>
      </w:r>
    </w:p>
    <w:p w:rsidR="002C7B4D" w:rsidP="00FE0CC5" w:rsidRDefault="00FE0CC5">
      <w:r w:rsidRPr="00FE0CC5">
        <w:t>Of the women surveyed in 2015 and 2016, those who were remanded for drug offences, acquisitive offences and for robbery/extortion offences, were far more likely to report heavy use of ice prior to entering prison than were women remand with other types of MSC.</w:t>
      </w:r>
    </w:p>
    <w:p w:rsidR="005F472F" w:rsidP="005F472F" w:rsidRDefault="005F472F">
      <w:pPr>
        <w:rPr>
          <w:b/>
        </w:rPr>
      </w:pPr>
      <w:r w:rsidRPr="005F472F">
        <w:rPr>
          <w:b/>
        </w:rPr>
        <w:t>MSC category of women entering prison on remand by level of drug use, 2015 and 2016</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MSC category of women entering prison on remand by level of drug use, 2015 and 2016"/>
      </w:tblPr>
      <w:tblGrid>
        <w:gridCol w:w="3210"/>
        <w:gridCol w:w="3208"/>
        <w:gridCol w:w="3210"/>
      </w:tblGrid>
      <w:tr w:rsidRPr="00BD72B8" w:rsidR="005F472F" w:rsidTr="00BD72B8">
        <w:trPr>
          <w:tblHeader/>
        </w:trPr>
        <w:tc>
          <w:tcPr>
            <w:tcW w:w="1667" w:type="pct"/>
            <w:shd w:val="clear" w:color="auto" w:fill="auto"/>
          </w:tcPr>
          <w:p w:rsidRPr="00BD72B8" w:rsidR="005F472F" w:rsidP="00331551" w:rsidRDefault="005F472F">
            <w:pPr>
              <w:spacing w:before="0" w:after="0"/>
              <w:rPr>
                <w:b/>
                <w:szCs w:val="20"/>
              </w:rPr>
            </w:pPr>
            <w:r w:rsidRPr="00BD72B8">
              <w:rPr>
                <w:b/>
                <w:szCs w:val="20"/>
              </w:rPr>
              <w:t>MSC</w:t>
            </w:r>
          </w:p>
        </w:tc>
        <w:tc>
          <w:tcPr>
            <w:tcW w:w="1666" w:type="pct"/>
            <w:shd w:val="clear" w:color="auto" w:fill="auto"/>
          </w:tcPr>
          <w:p w:rsidRPr="00BD72B8" w:rsidR="005F472F" w:rsidP="00331551" w:rsidRDefault="005F472F">
            <w:pPr>
              <w:spacing w:before="0" w:after="0"/>
              <w:jc w:val="center"/>
              <w:rPr>
                <w:b/>
                <w:szCs w:val="20"/>
              </w:rPr>
            </w:pPr>
            <w:r w:rsidRPr="00BD72B8">
              <w:rPr>
                <w:b/>
                <w:szCs w:val="20"/>
              </w:rPr>
              <w:t>Non-drug users</w:t>
            </w:r>
          </w:p>
        </w:tc>
        <w:tc>
          <w:tcPr>
            <w:tcW w:w="1667" w:type="pct"/>
            <w:shd w:val="clear" w:color="auto" w:fill="auto"/>
          </w:tcPr>
          <w:p w:rsidRPr="00BD72B8" w:rsidR="005F472F" w:rsidP="00331551" w:rsidRDefault="005F472F">
            <w:pPr>
              <w:spacing w:before="0" w:after="0"/>
              <w:jc w:val="center"/>
              <w:rPr>
                <w:b/>
                <w:szCs w:val="20"/>
              </w:rPr>
            </w:pPr>
            <w:r w:rsidRPr="00BD72B8">
              <w:rPr>
                <w:b/>
                <w:szCs w:val="20"/>
              </w:rPr>
              <w:t>Heavy ice users</w:t>
            </w:r>
          </w:p>
        </w:tc>
      </w:tr>
      <w:tr w:rsidRPr="00BD72B8" w:rsidR="005F472F" w:rsidTr="00331551">
        <w:tc>
          <w:tcPr>
            <w:tcW w:w="1667" w:type="pct"/>
            <w:shd w:val="clear" w:color="auto" w:fill="auto"/>
          </w:tcPr>
          <w:p w:rsidRPr="00BD72B8" w:rsidR="005F472F" w:rsidP="00331551" w:rsidRDefault="005F472F">
            <w:pPr>
              <w:pStyle w:val="Pa5"/>
              <w:rPr>
                <w:rFonts w:cs="VIC Light"/>
                <w:color w:val="000000"/>
                <w:sz w:val="20"/>
                <w:szCs w:val="20"/>
              </w:rPr>
            </w:pPr>
            <w:r w:rsidRPr="00BD72B8">
              <w:rPr>
                <w:rFonts w:cs="VIC Light"/>
                <w:color w:val="000000"/>
                <w:sz w:val="20"/>
                <w:szCs w:val="20"/>
              </w:rPr>
              <w:t xml:space="preserve">Burglary </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11%</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52%</w:t>
            </w:r>
          </w:p>
        </w:tc>
      </w:tr>
      <w:tr w:rsidRPr="00BD72B8" w:rsidR="005F472F" w:rsidTr="00331551">
        <w:tc>
          <w:tcPr>
            <w:tcW w:w="1667" w:type="pct"/>
            <w:shd w:val="clear" w:color="auto" w:fill="auto"/>
          </w:tcPr>
          <w:p w:rsidRPr="00BD72B8" w:rsidR="005F472F" w:rsidP="00331551" w:rsidRDefault="005F472F">
            <w:pPr>
              <w:pStyle w:val="Pa5"/>
              <w:rPr>
                <w:rFonts w:cs="VIC Light"/>
                <w:color w:val="000000"/>
                <w:sz w:val="20"/>
                <w:szCs w:val="20"/>
              </w:rPr>
            </w:pPr>
            <w:r w:rsidRPr="00BD72B8">
              <w:rPr>
                <w:rFonts w:cs="VIC Light"/>
                <w:color w:val="000000"/>
                <w:sz w:val="20"/>
                <w:szCs w:val="20"/>
              </w:rPr>
              <w:t xml:space="preserve">Drug offences </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20%</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50%</w:t>
            </w:r>
          </w:p>
        </w:tc>
      </w:tr>
      <w:tr w:rsidRPr="00BD72B8" w:rsidR="005F472F" w:rsidTr="00331551">
        <w:tc>
          <w:tcPr>
            <w:tcW w:w="1667" w:type="pct"/>
            <w:shd w:val="clear" w:color="auto" w:fill="auto"/>
          </w:tcPr>
          <w:p w:rsidRPr="00BD72B8" w:rsidR="005F472F" w:rsidP="00331551" w:rsidRDefault="005F472F">
            <w:pPr>
              <w:pStyle w:val="Pa5"/>
              <w:rPr>
                <w:rFonts w:cs="VIC Light"/>
                <w:color w:val="000000"/>
                <w:sz w:val="20"/>
                <w:szCs w:val="20"/>
              </w:rPr>
            </w:pPr>
            <w:r w:rsidRPr="00BD72B8">
              <w:rPr>
                <w:rFonts w:cs="VIC Light"/>
                <w:color w:val="000000"/>
                <w:sz w:val="20"/>
                <w:szCs w:val="20"/>
              </w:rPr>
              <w:t>Other property offences</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14%</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47%</w:t>
            </w:r>
          </w:p>
        </w:tc>
      </w:tr>
      <w:tr w:rsidRPr="00BD72B8" w:rsidR="005F472F" w:rsidTr="00331551">
        <w:tc>
          <w:tcPr>
            <w:tcW w:w="1667" w:type="pct"/>
            <w:shd w:val="clear" w:color="auto" w:fill="auto"/>
          </w:tcPr>
          <w:p w:rsidRPr="00BD72B8" w:rsidR="005F472F" w:rsidP="00331551" w:rsidRDefault="005F472F">
            <w:pPr>
              <w:pStyle w:val="Pa5"/>
              <w:rPr>
                <w:rFonts w:cs="VIC Light"/>
                <w:color w:val="000000"/>
                <w:sz w:val="20"/>
                <w:szCs w:val="20"/>
              </w:rPr>
            </w:pPr>
            <w:r w:rsidRPr="00BD72B8">
              <w:rPr>
                <w:rFonts w:cs="VIC Light"/>
                <w:color w:val="000000"/>
                <w:sz w:val="20"/>
                <w:szCs w:val="20"/>
              </w:rPr>
              <w:t>Robbery and extortion</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13%</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46%</w:t>
            </w:r>
          </w:p>
        </w:tc>
      </w:tr>
      <w:tr w:rsidRPr="00BD72B8" w:rsidR="005F472F" w:rsidTr="00331551">
        <w:tc>
          <w:tcPr>
            <w:tcW w:w="1667" w:type="pct"/>
            <w:shd w:val="clear" w:color="auto" w:fill="auto"/>
          </w:tcPr>
          <w:p w:rsidRPr="00BD72B8" w:rsidR="005F472F" w:rsidP="00331551" w:rsidRDefault="005F472F">
            <w:pPr>
              <w:pStyle w:val="Pa5"/>
              <w:rPr>
                <w:rFonts w:cs="VIC Light"/>
                <w:color w:val="000000"/>
                <w:sz w:val="20"/>
                <w:szCs w:val="20"/>
              </w:rPr>
            </w:pPr>
            <w:r w:rsidRPr="00BD72B8">
              <w:rPr>
                <w:rFonts w:cs="VIC Light"/>
                <w:color w:val="000000"/>
                <w:sz w:val="20"/>
                <w:szCs w:val="20"/>
              </w:rPr>
              <w:t>Good order offences</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27%</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40%</w:t>
            </w:r>
          </w:p>
        </w:tc>
      </w:tr>
      <w:tr w:rsidRPr="00BD72B8" w:rsidR="005F472F" w:rsidTr="00331551">
        <w:tc>
          <w:tcPr>
            <w:tcW w:w="1667" w:type="pct"/>
            <w:shd w:val="clear" w:color="auto" w:fill="auto"/>
          </w:tcPr>
          <w:p w:rsidRPr="00BD72B8" w:rsidR="005F472F" w:rsidP="00331551" w:rsidRDefault="005F472F">
            <w:pPr>
              <w:pStyle w:val="Pa5"/>
              <w:rPr>
                <w:rFonts w:cs="VIC Light"/>
                <w:color w:val="000000"/>
                <w:sz w:val="20"/>
                <w:szCs w:val="20"/>
              </w:rPr>
            </w:pPr>
            <w:r w:rsidRPr="00BD72B8">
              <w:rPr>
                <w:rFonts w:cs="VIC Light"/>
                <w:color w:val="000000"/>
                <w:sz w:val="20"/>
                <w:szCs w:val="20"/>
              </w:rPr>
              <w:t>Fraud</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38%</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35%</w:t>
            </w:r>
          </w:p>
        </w:tc>
      </w:tr>
      <w:tr w:rsidRPr="00BD72B8" w:rsidR="005F472F" w:rsidTr="00331551">
        <w:tc>
          <w:tcPr>
            <w:tcW w:w="1667" w:type="pct"/>
            <w:shd w:val="clear" w:color="auto" w:fill="auto"/>
          </w:tcPr>
          <w:p w:rsidRPr="00BD72B8" w:rsidR="005F472F" w:rsidP="00331551" w:rsidRDefault="005F472F">
            <w:pPr>
              <w:pStyle w:val="Pa5"/>
              <w:rPr>
                <w:rFonts w:cs="VIC Light"/>
                <w:color w:val="000000"/>
                <w:sz w:val="20"/>
                <w:szCs w:val="20"/>
              </w:rPr>
            </w:pPr>
            <w:r w:rsidRPr="00BD72B8">
              <w:rPr>
                <w:rFonts w:cs="VIC Light"/>
                <w:color w:val="000000"/>
                <w:sz w:val="20"/>
                <w:szCs w:val="20"/>
              </w:rPr>
              <w:t>Assault</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28%</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31%</w:t>
            </w:r>
          </w:p>
        </w:tc>
      </w:tr>
      <w:tr w:rsidRPr="00BD72B8" w:rsidR="005F472F" w:rsidTr="00331551">
        <w:tc>
          <w:tcPr>
            <w:tcW w:w="1667" w:type="pct"/>
            <w:shd w:val="clear" w:color="auto" w:fill="auto"/>
          </w:tcPr>
          <w:p w:rsidRPr="00BD72B8" w:rsidR="005F472F" w:rsidP="005F472F" w:rsidRDefault="005F472F">
            <w:pPr>
              <w:pStyle w:val="Pa5"/>
              <w:rPr>
                <w:rFonts w:cs="VIC Light"/>
                <w:color w:val="000000"/>
                <w:sz w:val="20"/>
                <w:szCs w:val="20"/>
              </w:rPr>
            </w:pPr>
            <w:r w:rsidRPr="00BD72B8">
              <w:rPr>
                <w:rFonts w:cs="VIC Light"/>
                <w:color w:val="000000"/>
                <w:sz w:val="20"/>
                <w:szCs w:val="20"/>
              </w:rPr>
              <w:t>Breach of order</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25%</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31%</w:t>
            </w:r>
          </w:p>
        </w:tc>
      </w:tr>
      <w:tr w:rsidRPr="00BD72B8" w:rsidR="005F472F" w:rsidTr="00331551">
        <w:tc>
          <w:tcPr>
            <w:tcW w:w="1667" w:type="pct"/>
            <w:shd w:val="clear" w:color="auto" w:fill="auto"/>
          </w:tcPr>
          <w:p w:rsidRPr="00BD72B8" w:rsidR="005F472F" w:rsidP="005F472F" w:rsidRDefault="005F472F">
            <w:pPr>
              <w:pStyle w:val="Pa5"/>
              <w:rPr>
                <w:rFonts w:cs="VIC Light"/>
                <w:color w:val="000000"/>
                <w:sz w:val="20"/>
                <w:szCs w:val="20"/>
              </w:rPr>
            </w:pPr>
            <w:r w:rsidRPr="00BD72B8">
              <w:rPr>
                <w:rFonts w:cs="VIC Light"/>
                <w:color w:val="000000"/>
                <w:sz w:val="20"/>
                <w:szCs w:val="20"/>
              </w:rPr>
              <w:t>Homicide</w:t>
            </w:r>
          </w:p>
        </w:tc>
        <w:tc>
          <w:tcPr>
            <w:tcW w:w="1666"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48%</w:t>
            </w:r>
          </w:p>
        </w:tc>
        <w:tc>
          <w:tcPr>
            <w:tcW w:w="1667" w:type="pct"/>
            <w:shd w:val="clear" w:color="auto" w:fill="auto"/>
          </w:tcPr>
          <w:p w:rsidRPr="00BD72B8" w:rsidR="005F472F" w:rsidP="00331551" w:rsidRDefault="005F472F">
            <w:pPr>
              <w:pStyle w:val="Pa20"/>
              <w:jc w:val="center"/>
              <w:rPr>
                <w:rFonts w:cs="VIC Light"/>
                <w:color w:val="000000"/>
                <w:sz w:val="20"/>
                <w:szCs w:val="20"/>
              </w:rPr>
            </w:pPr>
            <w:r w:rsidRPr="00BD72B8">
              <w:rPr>
                <w:rFonts w:cs="VIC Light"/>
                <w:color w:val="000000"/>
                <w:sz w:val="20"/>
                <w:szCs w:val="20"/>
              </w:rPr>
              <w:t>8%</w:t>
            </w:r>
          </w:p>
        </w:tc>
      </w:tr>
    </w:tbl>
    <w:p w:rsidRPr="00FA1B64" w:rsidR="00FA1B64" w:rsidP="00FA1B64" w:rsidRDefault="00FA1B64">
      <w:r w:rsidRPr="00FA1B64">
        <w:t>Drug abuse may also place women at risk of housing instability and homelessness, or it may be a result of housing difficulties. Women who had experienced homelessness or housing instability before prison were more likely to report using drugs daily (70 per cent) than those with stable accommodation (59 per cent).</w:t>
      </w:r>
    </w:p>
    <w:p w:rsidRPr="00FA1B64" w:rsidR="00FA1B64" w:rsidP="00FA1B64" w:rsidRDefault="00FA1B64">
      <w:pPr>
        <w:pStyle w:val="Heading2"/>
      </w:pPr>
      <w:r w:rsidRPr="00FA1B64">
        <w:t>Around half of the women received into prison on remand had not applied for bail</w:t>
      </w:r>
    </w:p>
    <w:p w:rsidRPr="00FA1B64" w:rsidR="00FA1B64" w:rsidP="00FA1B64" w:rsidRDefault="00FA1B64">
      <w:r w:rsidRPr="00FA1B64">
        <w:t>Of the women who were surveyed in 2015 and 2016, 51 per cent (981 women) reported that they had not applied for bail.</w:t>
      </w:r>
    </w:p>
    <w:p w:rsidR="005F472F" w:rsidP="00FA1B64" w:rsidRDefault="00FA1B64">
      <w:r w:rsidRPr="00FA1B64">
        <w:t>A further 40 per cent (773 women) reported having applied for bail but failing to secure release.</w:t>
      </w:r>
      <w:r>
        <w:rPr>
          <w:rStyle w:val="FootnoteReference"/>
        </w:rPr>
        <w:footnoteReference w:id="5"/>
      </w:r>
      <w:r w:rsidRPr="00FA1B64">
        <w:t xml:space="preserve"> Of those women whose bail applications were unsuccessful, 98 per cent reported that they had been refused bail and two per cent that they could not afford to pay the full amount.</w:t>
      </w:r>
    </w:p>
    <w:p w:rsidR="00200901" w:rsidP="00200901" w:rsidRDefault="00200901">
      <w:pPr>
        <w:pStyle w:val="Heading1"/>
      </w:pPr>
      <w:r>
        <w:t>Aboriginal women are less likely to apply for bail</w:t>
      </w:r>
    </w:p>
    <w:p w:rsidR="00200901" w:rsidP="00200901" w:rsidRDefault="00200901">
      <w:r>
        <w:t>Fewer Aboriginal women reported having lodged an application for bail than non-Aboriginal women (34 per cent compared with 41 per cent).</w:t>
      </w:r>
    </w:p>
    <w:p w:rsidR="00200901" w:rsidP="00200901" w:rsidRDefault="00200901">
      <w:r>
        <w:t>Considering the survey results overall, it is clear that there is substantial complexity inherent in many women’s experiences before prison and their challenges in seeking bail.</w:t>
      </w:r>
    </w:p>
    <w:p w:rsidRPr="004C0941" w:rsidR="00200901" w:rsidP="00200901" w:rsidRDefault="00200901">
      <w:pPr>
        <w:pStyle w:val="Heading1"/>
      </w:pPr>
      <w:r w:rsidRPr="004C0941">
        <w:t>Experiences of family violence are more prevalent amongst female prisoners</w:t>
      </w:r>
    </w:p>
    <w:p w:rsidR="004C0941" w:rsidP="004C0941" w:rsidRDefault="004C0941">
      <w:r>
        <w:t>In a 2015 family violence prisoner survey, female prisoners were significantly more likely to have been a victim of family violence: almost two-thirds of the women (65 per cent) and half of the men (52 per cent) reported having experienced family violence at some point.</w:t>
      </w:r>
    </w:p>
    <w:p w:rsidR="00200901" w:rsidP="004C0941" w:rsidRDefault="00200901">
      <w:pPr>
        <w:rPr>
          <w:b/>
        </w:rPr>
      </w:pPr>
      <w:r w:rsidRPr="00200901">
        <w:rPr>
          <w:b/>
        </w:rPr>
        <w:lastRenderedPageBreak/>
        <w:t>Experiences of family violence by sex, 2015</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Experiences of family violence by sex, 2015"/>
      </w:tblPr>
      <w:tblGrid>
        <w:gridCol w:w="3210"/>
        <w:gridCol w:w="3208"/>
        <w:gridCol w:w="3210"/>
      </w:tblGrid>
      <w:tr w:rsidRPr="00BD72B8" w:rsidR="00804176" w:rsidTr="00BD72B8">
        <w:trPr>
          <w:tblHeader/>
        </w:trPr>
        <w:tc>
          <w:tcPr>
            <w:tcW w:w="1667" w:type="pct"/>
            <w:shd w:val="clear" w:color="auto" w:fill="auto"/>
          </w:tcPr>
          <w:p w:rsidRPr="00BD72B8" w:rsidR="00804176" w:rsidP="00331551" w:rsidRDefault="00804176">
            <w:pPr>
              <w:spacing w:before="0" w:after="0"/>
              <w:rPr>
                <w:b/>
                <w:szCs w:val="20"/>
              </w:rPr>
            </w:pPr>
            <w:r w:rsidRPr="00BD72B8">
              <w:rPr>
                <w:b/>
                <w:szCs w:val="20"/>
              </w:rPr>
              <w:t>Experiences of victimisation</w:t>
            </w:r>
          </w:p>
        </w:tc>
        <w:tc>
          <w:tcPr>
            <w:tcW w:w="1666" w:type="pct"/>
            <w:shd w:val="clear" w:color="auto" w:fill="auto"/>
          </w:tcPr>
          <w:p w:rsidRPr="00BD72B8" w:rsidR="00804176" w:rsidP="00331551" w:rsidRDefault="00804176">
            <w:pPr>
              <w:spacing w:before="0" w:after="0"/>
              <w:jc w:val="center"/>
              <w:rPr>
                <w:b/>
                <w:szCs w:val="20"/>
              </w:rPr>
            </w:pPr>
            <w:r w:rsidRPr="00BD72B8">
              <w:rPr>
                <w:b/>
                <w:szCs w:val="20"/>
              </w:rPr>
              <w:t>Female</w:t>
            </w:r>
          </w:p>
        </w:tc>
        <w:tc>
          <w:tcPr>
            <w:tcW w:w="1667" w:type="pct"/>
            <w:shd w:val="clear" w:color="auto" w:fill="auto"/>
          </w:tcPr>
          <w:p w:rsidRPr="00BD72B8" w:rsidR="00804176" w:rsidP="00331551" w:rsidRDefault="00804176">
            <w:pPr>
              <w:spacing w:before="0" w:after="0"/>
              <w:jc w:val="center"/>
              <w:rPr>
                <w:b/>
                <w:szCs w:val="20"/>
              </w:rPr>
            </w:pPr>
            <w:r w:rsidRPr="00BD72B8">
              <w:rPr>
                <w:b/>
                <w:szCs w:val="20"/>
              </w:rPr>
              <w:t>Male</w:t>
            </w:r>
          </w:p>
        </w:tc>
      </w:tr>
      <w:tr w:rsidRPr="00BD72B8" w:rsidR="00804176" w:rsidTr="00331551">
        <w:tc>
          <w:tcPr>
            <w:tcW w:w="1667" w:type="pct"/>
            <w:shd w:val="clear" w:color="auto" w:fill="auto"/>
          </w:tcPr>
          <w:p w:rsidRPr="00BD72B8" w:rsidR="00804176" w:rsidP="00331551" w:rsidRDefault="00804176">
            <w:pPr>
              <w:pStyle w:val="Pa5"/>
              <w:rPr>
                <w:rFonts w:cs="VIC Light"/>
                <w:color w:val="000000"/>
                <w:sz w:val="20"/>
                <w:szCs w:val="20"/>
              </w:rPr>
            </w:pPr>
            <w:r w:rsidRPr="00BD72B8">
              <w:rPr>
                <w:rFonts w:cs="VIC Light"/>
                <w:color w:val="000000"/>
                <w:sz w:val="20"/>
                <w:szCs w:val="20"/>
              </w:rPr>
              <w:t>Yes</w:t>
            </w:r>
          </w:p>
        </w:tc>
        <w:tc>
          <w:tcPr>
            <w:tcW w:w="1666" w:type="pct"/>
            <w:shd w:val="clear" w:color="auto" w:fill="auto"/>
          </w:tcPr>
          <w:p w:rsidRPr="00BD72B8" w:rsidR="00804176" w:rsidP="00331551" w:rsidRDefault="00804176">
            <w:pPr>
              <w:pStyle w:val="Pa20"/>
              <w:jc w:val="center"/>
              <w:rPr>
                <w:rFonts w:cs="VIC Light"/>
                <w:color w:val="000000"/>
                <w:sz w:val="20"/>
                <w:szCs w:val="20"/>
              </w:rPr>
            </w:pPr>
            <w:r w:rsidRPr="00BD72B8">
              <w:rPr>
                <w:rFonts w:cs="VIC Light"/>
                <w:color w:val="000000"/>
                <w:sz w:val="20"/>
                <w:szCs w:val="20"/>
              </w:rPr>
              <w:t>65%</w:t>
            </w:r>
          </w:p>
        </w:tc>
        <w:tc>
          <w:tcPr>
            <w:tcW w:w="1667" w:type="pct"/>
            <w:shd w:val="clear" w:color="auto" w:fill="auto"/>
          </w:tcPr>
          <w:p w:rsidRPr="00BD72B8" w:rsidR="00804176" w:rsidP="00331551" w:rsidRDefault="004C0941">
            <w:pPr>
              <w:pStyle w:val="Pa20"/>
              <w:jc w:val="center"/>
              <w:rPr>
                <w:rFonts w:cs="VIC Light"/>
                <w:color w:val="000000"/>
                <w:sz w:val="20"/>
                <w:szCs w:val="20"/>
              </w:rPr>
            </w:pPr>
            <w:r w:rsidRPr="00BD72B8">
              <w:rPr>
                <w:rFonts w:cs="VIC Light"/>
                <w:color w:val="000000"/>
                <w:sz w:val="20"/>
                <w:szCs w:val="20"/>
              </w:rPr>
              <w:t>52</w:t>
            </w:r>
            <w:r w:rsidRPr="00BD72B8" w:rsidR="00804176">
              <w:rPr>
                <w:rFonts w:cs="VIC Light"/>
                <w:color w:val="000000"/>
                <w:sz w:val="20"/>
                <w:szCs w:val="20"/>
              </w:rPr>
              <w:t>%</w:t>
            </w:r>
          </w:p>
        </w:tc>
      </w:tr>
      <w:tr w:rsidRPr="00BD72B8" w:rsidR="00804176" w:rsidTr="00331551">
        <w:tc>
          <w:tcPr>
            <w:tcW w:w="1667" w:type="pct"/>
            <w:shd w:val="clear" w:color="auto" w:fill="auto"/>
          </w:tcPr>
          <w:p w:rsidRPr="00BD72B8" w:rsidR="00804176" w:rsidP="00331551" w:rsidRDefault="00804176">
            <w:pPr>
              <w:pStyle w:val="Pa5"/>
              <w:rPr>
                <w:rFonts w:cs="VIC Light"/>
                <w:color w:val="000000"/>
                <w:sz w:val="20"/>
                <w:szCs w:val="20"/>
              </w:rPr>
            </w:pPr>
            <w:r w:rsidRPr="00BD72B8">
              <w:rPr>
                <w:rFonts w:cs="VIC Light"/>
                <w:color w:val="000000"/>
                <w:sz w:val="20"/>
                <w:szCs w:val="20"/>
              </w:rPr>
              <w:t>No</w:t>
            </w:r>
          </w:p>
        </w:tc>
        <w:tc>
          <w:tcPr>
            <w:tcW w:w="1666" w:type="pct"/>
            <w:shd w:val="clear" w:color="auto" w:fill="auto"/>
          </w:tcPr>
          <w:p w:rsidRPr="00BD72B8" w:rsidR="00804176" w:rsidP="00331551" w:rsidRDefault="004C0941">
            <w:pPr>
              <w:pStyle w:val="Pa20"/>
              <w:jc w:val="center"/>
              <w:rPr>
                <w:rFonts w:cs="VIC Light"/>
                <w:color w:val="000000"/>
                <w:sz w:val="20"/>
                <w:szCs w:val="20"/>
              </w:rPr>
            </w:pPr>
            <w:r w:rsidRPr="00BD72B8">
              <w:rPr>
                <w:rFonts w:cs="VIC Light"/>
                <w:color w:val="000000"/>
                <w:sz w:val="20"/>
                <w:szCs w:val="20"/>
              </w:rPr>
              <w:t>27</w:t>
            </w:r>
            <w:r w:rsidRPr="00BD72B8" w:rsidR="00804176">
              <w:rPr>
                <w:rFonts w:cs="VIC Light"/>
                <w:color w:val="000000"/>
                <w:sz w:val="20"/>
                <w:szCs w:val="20"/>
              </w:rPr>
              <w:t>%</w:t>
            </w:r>
          </w:p>
        </w:tc>
        <w:tc>
          <w:tcPr>
            <w:tcW w:w="1667" w:type="pct"/>
            <w:shd w:val="clear" w:color="auto" w:fill="auto"/>
          </w:tcPr>
          <w:p w:rsidRPr="00BD72B8" w:rsidR="00804176" w:rsidP="00331551" w:rsidRDefault="004C0941">
            <w:pPr>
              <w:pStyle w:val="Pa20"/>
              <w:jc w:val="center"/>
              <w:rPr>
                <w:rFonts w:cs="VIC Light"/>
                <w:color w:val="000000"/>
                <w:sz w:val="20"/>
                <w:szCs w:val="20"/>
              </w:rPr>
            </w:pPr>
            <w:r w:rsidRPr="00BD72B8">
              <w:rPr>
                <w:rFonts w:cs="VIC Light"/>
                <w:color w:val="000000"/>
                <w:sz w:val="20"/>
                <w:szCs w:val="20"/>
              </w:rPr>
              <w:t>40</w:t>
            </w:r>
            <w:r w:rsidRPr="00BD72B8" w:rsidR="00804176">
              <w:rPr>
                <w:rFonts w:cs="VIC Light"/>
                <w:color w:val="000000"/>
                <w:sz w:val="20"/>
                <w:szCs w:val="20"/>
              </w:rPr>
              <w:t>%</w:t>
            </w:r>
          </w:p>
        </w:tc>
      </w:tr>
      <w:tr w:rsidRPr="00BD72B8" w:rsidR="00804176" w:rsidTr="00331551">
        <w:tc>
          <w:tcPr>
            <w:tcW w:w="1667" w:type="pct"/>
            <w:shd w:val="clear" w:color="auto" w:fill="auto"/>
          </w:tcPr>
          <w:p w:rsidRPr="00BD72B8" w:rsidR="00804176" w:rsidP="00331551" w:rsidRDefault="00804176">
            <w:pPr>
              <w:pStyle w:val="Pa5"/>
              <w:rPr>
                <w:rFonts w:cs="VIC Light"/>
                <w:color w:val="000000"/>
                <w:sz w:val="20"/>
                <w:szCs w:val="20"/>
              </w:rPr>
            </w:pPr>
            <w:r w:rsidRPr="00BD72B8">
              <w:rPr>
                <w:rFonts w:cs="VIC Light"/>
                <w:color w:val="000000"/>
                <w:sz w:val="20"/>
                <w:szCs w:val="20"/>
              </w:rPr>
              <w:t>Other</w:t>
            </w:r>
          </w:p>
        </w:tc>
        <w:tc>
          <w:tcPr>
            <w:tcW w:w="1666" w:type="pct"/>
            <w:shd w:val="clear" w:color="auto" w:fill="auto"/>
          </w:tcPr>
          <w:p w:rsidRPr="00BD72B8" w:rsidR="00804176" w:rsidP="00331551" w:rsidRDefault="004C0941">
            <w:pPr>
              <w:pStyle w:val="Pa20"/>
              <w:jc w:val="center"/>
              <w:rPr>
                <w:rFonts w:cs="VIC Light"/>
                <w:color w:val="000000"/>
                <w:sz w:val="20"/>
                <w:szCs w:val="20"/>
              </w:rPr>
            </w:pPr>
            <w:r w:rsidRPr="00BD72B8">
              <w:rPr>
                <w:rFonts w:cs="VIC Light"/>
                <w:color w:val="000000"/>
                <w:sz w:val="20"/>
                <w:szCs w:val="20"/>
              </w:rPr>
              <w:t>8</w:t>
            </w:r>
            <w:r w:rsidRPr="00BD72B8" w:rsidR="00804176">
              <w:rPr>
                <w:rFonts w:cs="VIC Light"/>
                <w:color w:val="000000"/>
                <w:sz w:val="20"/>
                <w:szCs w:val="20"/>
              </w:rPr>
              <w:t>%</w:t>
            </w:r>
          </w:p>
        </w:tc>
        <w:tc>
          <w:tcPr>
            <w:tcW w:w="1667" w:type="pct"/>
            <w:shd w:val="clear" w:color="auto" w:fill="auto"/>
          </w:tcPr>
          <w:p w:rsidRPr="00BD72B8" w:rsidR="00804176" w:rsidP="00331551" w:rsidRDefault="004C0941">
            <w:pPr>
              <w:pStyle w:val="Pa20"/>
              <w:jc w:val="center"/>
              <w:rPr>
                <w:rFonts w:cs="VIC Light"/>
                <w:color w:val="000000"/>
                <w:sz w:val="20"/>
                <w:szCs w:val="20"/>
              </w:rPr>
            </w:pPr>
            <w:r w:rsidRPr="00BD72B8">
              <w:rPr>
                <w:rFonts w:cs="VIC Light"/>
                <w:color w:val="000000"/>
                <w:sz w:val="20"/>
                <w:szCs w:val="20"/>
              </w:rPr>
              <w:t>8</w:t>
            </w:r>
            <w:r w:rsidRPr="00BD72B8" w:rsidR="00804176">
              <w:rPr>
                <w:rFonts w:cs="VIC Light"/>
                <w:color w:val="000000"/>
                <w:sz w:val="20"/>
                <w:szCs w:val="20"/>
              </w:rPr>
              <w:t>%</w:t>
            </w:r>
          </w:p>
        </w:tc>
      </w:tr>
      <w:tr w:rsidRPr="00BD72B8" w:rsidR="00804176" w:rsidTr="00331551">
        <w:tc>
          <w:tcPr>
            <w:tcW w:w="1667" w:type="pct"/>
            <w:shd w:val="clear" w:color="auto" w:fill="auto"/>
          </w:tcPr>
          <w:p w:rsidRPr="00BD72B8" w:rsidR="00804176" w:rsidP="00331551" w:rsidRDefault="00804176">
            <w:pPr>
              <w:pStyle w:val="Pa5"/>
              <w:rPr>
                <w:rFonts w:cs="VIC Light"/>
                <w:b/>
                <w:color w:val="000000"/>
                <w:sz w:val="20"/>
                <w:szCs w:val="20"/>
              </w:rPr>
            </w:pPr>
            <w:r w:rsidRPr="00BD72B8">
              <w:rPr>
                <w:rFonts w:cs="VIC Light"/>
                <w:b/>
                <w:color w:val="000000"/>
                <w:sz w:val="20"/>
                <w:szCs w:val="20"/>
              </w:rPr>
              <w:t>Of those that answered yes</w:t>
            </w:r>
          </w:p>
        </w:tc>
        <w:tc>
          <w:tcPr>
            <w:tcW w:w="1666" w:type="pct"/>
            <w:shd w:val="clear" w:color="auto" w:fill="auto"/>
          </w:tcPr>
          <w:p w:rsidRPr="00BD72B8" w:rsidR="00804176" w:rsidP="00331551" w:rsidRDefault="00804176">
            <w:pPr>
              <w:pStyle w:val="Pa20"/>
              <w:jc w:val="center"/>
              <w:rPr>
                <w:rFonts w:cs="VIC Light"/>
                <w:color w:val="000000"/>
                <w:sz w:val="20"/>
                <w:szCs w:val="20"/>
              </w:rPr>
            </w:pPr>
          </w:p>
        </w:tc>
        <w:tc>
          <w:tcPr>
            <w:tcW w:w="1667" w:type="pct"/>
            <w:shd w:val="clear" w:color="auto" w:fill="auto"/>
          </w:tcPr>
          <w:p w:rsidRPr="00BD72B8" w:rsidR="00804176" w:rsidP="00331551" w:rsidRDefault="00804176">
            <w:pPr>
              <w:pStyle w:val="Pa20"/>
              <w:jc w:val="center"/>
              <w:rPr>
                <w:rFonts w:cs="VIC Light"/>
                <w:color w:val="000000"/>
                <w:sz w:val="20"/>
                <w:szCs w:val="20"/>
              </w:rPr>
            </w:pPr>
          </w:p>
        </w:tc>
      </w:tr>
      <w:tr w:rsidRPr="00BD72B8" w:rsidR="00804176" w:rsidTr="00331551">
        <w:tc>
          <w:tcPr>
            <w:tcW w:w="1667" w:type="pct"/>
            <w:shd w:val="clear" w:color="auto" w:fill="auto"/>
          </w:tcPr>
          <w:p w:rsidRPr="00BD72B8" w:rsidR="00804176" w:rsidP="00331551" w:rsidRDefault="00804176">
            <w:pPr>
              <w:pStyle w:val="Pa5"/>
              <w:rPr>
                <w:rFonts w:cs="VIC Light"/>
                <w:color w:val="000000"/>
                <w:sz w:val="20"/>
                <w:szCs w:val="20"/>
              </w:rPr>
            </w:pPr>
            <w:r w:rsidRPr="00BD72B8">
              <w:rPr>
                <w:rFonts w:cs="VIC Light"/>
                <w:color w:val="000000"/>
                <w:sz w:val="20"/>
                <w:szCs w:val="20"/>
              </w:rPr>
              <w:t>Child</w:t>
            </w:r>
          </w:p>
        </w:tc>
        <w:tc>
          <w:tcPr>
            <w:tcW w:w="1666" w:type="pct"/>
            <w:shd w:val="clear" w:color="auto" w:fill="auto"/>
          </w:tcPr>
          <w:p w:rsidRPr="00BD72B8" w:rsidR="00804176" w:rsidP="00331551" w:rsidRDefault="00B30FC4">
            <w:pPr>
              <w:pStyle w:val="Pa20"/>
              <w:jc w:val="center"/>
              <w:rPr>
                <w:rFonts w:cs="VIC Light"/>
                <w:color w:val="000000"/>
                <w:sz w:val="20"/>
                <w:szCs w:val="20"/>
              </w:rPr>
            </w:pPr>
            <w:r w:rsidRPr="00BD72B8">
              <w:rPr>
                <w:rFonts w:cs="VIC Light"/>
                <w:color w:val="000000"/>
                <w:sz w:val="20"/>
                <w:szCs w:val="20"/>
              </w:rPr>
              <w:t>11%</w:t>
            </w:r>
          </w:p>
        </w:tc>
        <w:tc>
          <w:tcPr>
            <w:tcW w:w="1667" w:type="pct"/>
            <w:shd w:val="clear" w:color="auto" w:fill="auto"/>
          </w:tcPr>
          <w:p w:rsidRPr="00BD72B8" w:rsidR="00804176" w:rsidP="00331551" w:rsidRDefault="00B30FC4">
            <w:pPr>
              <w:pStyle w:val="Pa20"/>
              <w:jc w:val="center"/>
              <w:rPr>
                <w:rFonts w:cs="VIC Light"/>
                <w:color w:val="000000"/>
                <w:sz w:val="20"/>
                <w:szCs w:val="20"/>
              </w:rPr>
            </w:pPr>
            <w:r w:rsidRPr="00BD72B8">
              <w:rPr>
                <w:rFonts w:cs="VIC Light"/>
                <w:color w:val="000000"/>
                <w:sz w:val="20"/>
                <w:szCs w:val="20"/>
              </w:rPr>
              <w:t>55%</w:t>
            </w:r>
          </w:p>
        </w:tc>
      </w:tr>
      <w:tr w:rsidRPr="00BD72B8" w:rsidR="00804176" w:rsidTr="00331551">
        <w:tc>
          <w:tcPr>
            <w:tcW w:w="1667" w:type="pct"/>
            <w:shd w:val="clear" w:color="auto" w:fill="auto"/>
          </w:tcPr>
          <w:p w:rsidRPr="00BD72B8" w:rsidR="00804176" w:rsidP="00331551" w:rsidRDefault="00804176">
            <w:pPr>
              <w:pStyle w:val="Pa5"/>
              <w:rPr>
                <w:rFonts w:cs="VIC Light"/>
                <w:color w:val="000000"/>
                <w:sz w:val="20"/>
                <w:szCs w:val="20"/>
              </w:rPr>
            </w:pPr>
            <w:r w:rsidRPr="00BD72B8">
              <w:rPr>
                <w:rFonts w:cs="VIC Light"/>
                <w:color w:val="000000"/>
                <w:sz w:val="20"/>
                <w:szCs w:val="20"/>
              </w:rPr>
              <w:t>Adult</w:t>
            </w:r>
          </w:p>
        </w:tc>
        <w:tc>
          <w:tcPr>
            <w:tcW w:w="1666" w:type="pct"/>
            <w:shd w:val="clear" w:color="auto" w:fill="auto"/>
          </w:tcPr>
          <w:p w:rsidRPr="00BD72B8" w:rsidR="00804176" w:rsidP="00331551" w:rsidRDefault="00B30FC4">
            <w:pPr>
              <w:pStyle w:val="Pa20"/>
              <w:jc w:val="center"/>
              <w:rPr>
                <w:rFonts w:cs="VIC Light"/>
                <w:color w:val="000000"/>
                <w:sz w:val="20"/>
                <w:szCs w:val="20"/>
              </w:rPr>
            </w:pPr>
            <w:r w:rsidRPr="00BD72B8">
              <w:rPr>
                <w:rFonts w:cs="VIC Light"/>
                <w:color w:val="000000"/>
                <w:sz w:val="20"/>
                <w:szCs w:val="20"/>
              </w:rPr>
              <w:t>36%</w:t>
            </w:r>
          </w:p>
        </w:tc>
        <w:tc>
          <w:tcPr>
            <w:tcW w:w="1667" w:type="pct"/>
            <w:shd w:val="clear" w:color="auto" w:fill="auto"/>
          </w:tcPr>
          <w:p w:rsidRPr="00BD72B8" w:rsidR="00804176" w:rsidP="004C0941" w:rsidRDefault="00B30FC4">
            <w:pPr>
              <w:pStyle w:val="Pa20"/>
              <w:jc w:val="center"/>
              <w:rPr>
                <w:rFonts w:cs="VIC Light"/>
                <w:color w:val="000000"/>
                <w:sz w:val="20"/>
                <w:szCs w:val="20"/>
              </w:rPr>
            </w:pPr>
            <w:r w:rsidRPr="00BD72B8">
              <w:rPr>
                <w:rFonts w:cs="VIC Light"/>
                <w:color w:val="000000"/>
                <w:sz w:val="20"/>
                <w:szCs w:val="20"/>
              </w:rPr>
              <w:t>1</w:t>
            </w:r>
            <w:r w:rsidRPr="00BD72B8" w:rsidR="004C0941">
              <w:rPr>
                <w:rFonts w:cs="VIC Light"/>
                <w:color w:val="000000"/>
                <w:sz w:val="20"/>
                <w:szCs w:val="20"/>
              </w:rPr>
              <w:t>8</w:t>
            </w:r>
            <w:r w:rsidRPr="00BD72B8">
              <w:rPr>
                <w:rFonts w:cs="VIC Light"/>
                <w:color w:val="000000"/>
                <w:sz w:val="20"/>
                <w:szCs w:val="20"/>
              </w:rPr>
              <w:t>%</w:t>
            </w:r>
          </w:p>
        </w:tc>
      </w:tr>
      <w:tr w:rsidRPr="00BD72B8" w:rsidR="00804176" w:rsidTr="00331551">
        <w:tc>
          <w:tcPr>
            <w:tcW w:w="1667" w:type="pct"/>
            <w:shd w:val="clear" w:color="auto" w:fill="auto"/>
          </w:tcPr>
          <w:p w:rsidRPr="00BD72B8" w:rsidR="00804176" w:rsidP="00331551" w:rsidRDefault="00804176">
            <w:pPr>
              <w:pStyle w:val="Pa5"/>
              <w:rPr>
                <w:rFonts w:cs="VIC Light"/>
                <w:color w:val="000000"/>
                <w:sz w:val="20"/>
                <w:szCs w:val="20"/>
              </w:rPr>
            </w:pPr>
            <w:r w:rsidRPr="00BD72B8">
              <w:rPr>
                <w:rFonts w:cs="VIC Light"/>
                <w:color w:val="000000"/>
                <w:sz w:val="20"/>
                <w:szCs w:val="20"/>
              </w:rPr>
              <w:t>Both</w:t>
            </w:r>
          </w:p>
        </w:tc>
        <w:tc>
          <w:tcPr>
            <w:tcW w:w="1666" w:type="pct"/>
            <w:shd w:val="clear" w:color="auto" w:fill="auto"/>
          </w:tcPr>
          <w:p w:rsidRPr="00BD72B8" w:rsidR="00804176" w:rsidP="00331551" w:rsidRDefault="00B30FC4">
            <w:pPr>
              <w:pStyle w:val="Pa20"/>
              <w:jc w:val="center"/>
              <w:rPr>
                <w:rFonts w:cs="VIC Light"/>
                <w:color w:val="000000"/>
                <w:sz w:val="20"/>
                <w:szCs w:val="20"/>
              </w:rPr>
            </w:pPr>
            <w:r w:rsidRPr="00BD72B8">
              <w:rPr>
                <w:rFonts w:cs="VIC Light"/>
                <w:color w:val="000000"/>
                <w:sz w:val="20"/>
                <w:szCs w:val="20"/>
              </w:rPr>
              <w:t>52%</w:t>
            </w:r>
          </w:p>
        </w:tc>
        <w:tc>
          <w:tcPr>
            <w:tcW w:w="1667" w:type="pct"/>
            <w:shd w:val="clear" w:color="auto" w:fill="auto"/>
          </w:tcPr>
          <w:p w:rsidRPr="00BD72B8" w:rsidR="00804176" w:rsidP="00331551" w:rsidRDefault="00B30FC4">
            <w:pPr>
              <w:pStyle w:val="Pa20"/>
              <w:jc w:val="center"/>
              <w:rPr>
                <w:rFonts w:cs="VIC Light"/>
                <w:color w:val="000000"/>
                <w:sz w:val="20"/>
                <w:szCs w:val="20"/>
              </w:rPr>
            </w:pPr>
            <w:r w:rsidRPr="00BD72B8">
              <w:rPr>
                <w:rFonts w:cs="VIC Light"/>
                <w:color w:val="000000"/>
                <w:sz w:val="20"/>
                <w:szCs w:val="20"/>
              </w:rPr>
              <w:t>26%</w:t>
            </w:r>
          </w:p>
        </w:tc>
      </w:tr>
    </w:tbl>
    <w:p w:rsidR="004C0941" w:rsidP="004C0941" w:rsidRDefault="004C0941">
      <w:r>
        <w:t>Women were more likely to report experiencing family violence in both childhood and as an adult, while men were more likely to report having been a victim of family violence as a child only.</w:t>
      </w:r>
    </w:p>
    <w:p w:rsidRPr="00B30FC4" w:rsidR="00B30FC4" w:rsidP="004C0941" w:rsidRDefault="00B30FC4">
      <w:r w:rsidRPr="00B30FC4">
        <w:t>Women offenders’ experience of family violence has a range of implications for service and program delivery.</w:t>
      </w:r>
    </w:p>
    <w:p w:rsidRPr="00B30FC4" w:rsidR="00B30FC4" w:rsidP="00B30FC4" w:rsidRDefault="00B30FC4">
      <w:r w:rsidRPr="00B30FC4">
        <w:t>Given the known effects of family violence, there is a clear need for targeted interventions that address the physical, economic, psychological and emotional impact for women. There are also significant implications for post-release transition for women leaving prison.</w:t>
      </w:r>
    </w:p>
    <w:p w:rsidRPr="00B30FC4" w:rsidR="00B30FC4" w:rsidP="00B30FC4" w:rsidRDefault="00B30FC4">
      <w:r w:rsidRPr="00B30FC4">
        <w:t>On release, these women may face the risk of returning to the violence; due to the threat of homelessness, some women may return to violent relationships.</w:t>
      </w:r>
    </w:p>
    <w:p w:rsidRPr="00B30FC4" w:rsidR="00B30FC4" w:rsidP="00B30FC4" w:rsidRDefault="00B30FC4">
      <w:r w:rsidRPr="00B30FC4">
        <w:t>Women can also face disruptions to their transition back into the community due to family violence-related debt or homelessness, with unstable housing and homelessness found to be a significant indicator of failed reintegration and also of whether an offender will return to prison.</w:t>
      </w:r>
    </w:p>
    <w:p w:rsidR="00804176" w:rsidP="00B30FC4" w:rsidRDefault="00312252">
      <w:pPr>
        <w:rPr>
          <w:i/>
        </w:rPr>
      </w:pPr>
      <w:r>
        <w:rPr>
          <w:i/>
        </w:rPr>
        <w:t>(</w:t>
      </w:r>
      <w:r w:rsidRPr="00B30FC4" w:rsidR="00B30FC4">
        <w:rPr>
          <w:i/>
        </w:rPr>
        <w:t>Strengthening Connections: Women’s Policy for the Victorian Corrections System</w:t>
      </w:r>
      <w:r>
        <w:rPr>
          <w:i/>
        </w:rPr>
        <w:t>)</w:t>
      </w:r>
    </w:p>
    <w:p w:rsidRPr="00312252" w:rsidR="00312252" w:rsidP="00312252" w:rsidRDefault="00312252">
      <w:pPr>
        <w:pStyle w:val="Heading1"/>
      </w:pPr>
      <w:r w:rsidRPr="00312252">
        <w:t>OUTCOMES OF WOMEN’S REMAND EPISODES</w:t>
      </w:r>
    </w:p>
    <w:p w:rsidRPr="00312252" w:rsidR="00312252" w:rsidP="00312252" w:rsidRDefault="00312252">
      <w:r w:rsidRPr="00312252">
        <w:t>Despite difficulties in both applying for and securing bail, many women who enter prison on remand are ultimately released on bail. ‘Flow’ data on women entering and leaving prison show changes over time in the outcomes of women’s remand episodes.</w:t>
      </w:r>
    </w:p>
    <w:p w:rsidRPr="00312252" w:rsidR="00312252" w:rsidP="00312252" w:rsidRDefault="00312252">
      <w:pPr>
        <w:rPr>
          <w:i/>
        </w:rPr>
      </w:pPr>
      <w:r w:rsidRPr="00312252">
        <w:rPr>
          <w:i/>
        </w:rPr>
        <w:t>A period of remand ends either when a person in prison receives a sentence of imprisonment</w:t>
      </w:r>
      <w:r>
        <w:rPr>
          <w:i/>
        </w:rPr>
        <w:t xml:space="preserve"> </w:t>
      </w:r>
      <w:r w:rsidRPr="00312252">
        <w:rPr>
          <w:i/>
        </w:rPr>
        <w:t>and transitions from being an unsentenced to a sentenced prisoner, or they are released</w:t>
      </w:r>
      <w:r>
        <w:rPr>
          <w:i/>
        </w:rPr>
        <w:t xml:space="preserve"> </w:t>
      </w:r>
      <w:r w:rsidRPr="00312252">
        <w:rPr>
          <w:i/>
        </w:rPr>
        <w:t>from prison. This includes release onto bail, after receiving a non-custodial sentence, being</w:t>
      </w:r>
      <w:r>
        <w:rPr>
          <w:i/>
        </w:rPr>
        <w:t xml:space="preserve"> </w:t>
      </w:r>
      <w:r w:rsidRPr="00312252">
        <w:rPr>
          <w:i/>
        </w:rPr>
        <w:t>acquitted or being sentenced to the time they had already served on remand.</w:t>
      </w:r>
    </w:p>
    <w:p w:rsidRPr="00312252" w:rsidR="00312252" w:rsidP="00312252" w:rsidRDefault="00312252">
      <w:pPr>
        <w:pStyle w:val="Heading2"/>
      </w:pPr>
      <w:r w:rsidRPr="00312252">
        <w:t>More women are being released from prison without having served any</w:t>
      </w:r>
      <w:r>
        <w:t xml:space="preserve"> </w:t>
      </w:r>
      <w:r w:rsidRPr="00312252">
        <w:t>time under sentence</w:t>
      </w:r>
    </w:p>
    <w:p w:rsidR="00312252" w:rsidP="00312252" w:rsidRDefault="00312252">
      <w:r w:rsidRPr="004D5742">
        <w:t>In 2017, two-thirds of women whose period of remand ended were released from prison without having served any time under sentence, with only one-third receiving a sentence of imprisonment with additional time to serve. In 2017, more than 870 women (66 per cent) were released from prison without having served any time under sentence, and this number has increased more than four fold since 2011, when 215 women were released from a remand episode</w:t>
      </w:r>
      <w:r w:rsidRPr="004D5742" w:rsidR="004D5742">
        <w:t>.</w:t>
      </w:r>
    </w:p>
    <w:p w:rsidR="004D5742" w:rsidP="004D5742" w:rsidRDefault="004D5742">
      <w:pPr>
        <w:rPr>
          <w:b/>
        </w:rPr>
      </w:pPr>
      <w:r w:rsidRPr="004D5742">
        <w:rPr>
          <w:b/>
        </w:rPr>
        <w:t>Number and proportion of women ending a period of remand by outcome, 2011 to 2017</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Number and proportion of women ending a period of remand by outcome, 2011 to 2017"/>
      </w:tblPr>
      <w:tblGrid>
        <w:gridCol w:w="714"/>
        <w:gridCol w:w="2693"/>
        <w:gridCol w:w="3372"/>
        <w:gridCol w:w="2849"/>
      </w:tblGrid>
      <w:tr w:rsidRPr="00331551" w:rsidR="00FA19AC" w:rsidTr="00BD72B8">
        <w:trPr>
          <w:tblHeader/>
        </w:trPr>
        <w:tc>
          <w:tcPr>
            <w:tcW w:w="714" w:type="dxa"/>
            <w:shd w:val="clear" w:color="auto" w:fill="auto"/>
          </w:tcPr>
          <w:p w:rsidRPr="00331551" w:rsidR="00FA19AC" w:rsidP="00331551" w:rsidRDefault="00FA19AC">
            <w:pPr>
              <w:spacing w:before="0" w:after="0"/>
              <w:jc w:val="center"/>
              <w:rPr>
                <w:b/>
              </w:rPr>
            </w:pPr>
            <w:r w:rsidRPr="00331551">
              <w:rPr>
                <w:b/>
              </w:rPr>
              <w:t>Year</w:t>
            </w:r>
          </w:p>
        </w:tc>
        <w:tc>
          <w:tcPr>
            <w:tcW w:w="2693" w:type="dxa"/>
            <w:shd w:val="clear" w:color="auto" w:fill="auto"/>
          </w:tcPr>
          <w:p w:rsidRPr="00331551" w:rsidR="00FA19AC" w:rsidP="00331551" w:rsidRDefault="00FA19AC">
            <w:pPr>
              <w:spacing w:before="0" w:after="0"/>
              <w:jc w:val="center"/>
              <w:rPr>
                <w:b/>
              </w:rPr>
            </w:pPr>
            <w:r w:rsidRPr="00331551">
              <w:rPr>
                <w:b/>
              </w:rPr>
              <w:t>Number of women discharged from remand</w:t>
            </w:r>
          </w:p>
        </w:tc>
        <w:tc>
          <w:tcPr>
            <w:tcW w:w="3372" w:type="dxa"/>
            <w:shd w:val="clear" w:color="auto" w:fill="auto"/>
          </w:tcPr>
          <w:p w:rsidRPr="00331551" w:rsidR="00FA19AC" w:rsidP="00331551" w:rsidRDefault="00FA19AC">
            <w:pPr>
              <w:spacing w:before="0" w:after="0"/>
              <w:jc w:val="center"/>
              <w:rPr>
                <w:b/>
              </w:rPr>
            </w:pPr>
            <w:r w:rsidRPr="00331551">
              <w:rPr>
                <w:b/>
              </w:rPr>
              <w:t>% of remanded women released from prison unsentenced</w:t>
            </w:r>
          </w:p>
        </w:tc>
        <w:tc>
          <w:tcPr>
            <w:tcW w:w="0" w:type="auto"/>
            <w:shd w:val="clear" w:color="auto" w:fill="auto"/>
          </w:tcPr>
          <w:p w:rsidRPr="00331551" w:rsidR="00FA19AC" w:rsidP="00331551" w:rsidRDefault="00FA19AC">
            <w:pPr>
              <w:spacing w:before="0" w:after="0"/>
              <w:jc w:val="center"/>
              <w:rPr>
                <w:b/>
              </w:rPr>
            </w:pPr>
            <w:r w:rsidRPr="00331551">
              <w:rPr>
                <w:b/>
              </w:rPr>
              <w:t>% of remanded women who became sentenced</w:t>
            </w:r>
          </w:p>
        </w:tc>
      </w:tr>
      <w:tr w:rsidRPr="00331551" w:rsidR="00FA19AC" w:rsidTr="00331551">
        <w:tc>
          <w:tcPr>
            <w:tcW w:w="714" w:type="dxa"/>
            <w:shd w:val="clear" w:color="auto" w:fill="auto"/>
          </w:tcPr>
          <w:p w:rsidRPr="00FA19AC" w:rsidR="00FA19AC" w:rsidP="00331551" w:rsidRDefault="00FA19AC">
            <w:pPr>
              <w:spacing w:before="0" w:after="0"/>
              <w:jc w:val="center"/>
            </w:pPr>
            <w:r w:rsidRPr="00C012E1">
              <w:rPr>
                <w:sz w:val="20"/>
              </w:rPr>
              <w:t>2011</w:t>
            </w:r>
          </w:p>
        </w:tc>
        <w:tc>
          <w:tcPr>
            <w:tcW w:w="2693" w:type="dxa"/>
            <w:shd w:val="clear" w:color="auto" w:fill="auto"/>
          </w:tcPr>
          <w:p w:rsidRPr="00C012E1" w:rsidR="00FA19AC" w:rsidP="00331551" w:rsidRDefault="00FA19AC">
            <w:pPr>
              <w:spacing w:before="0" w:after="0"/>
              <w:jc w:val="center"/>
              <w:rPr>
                <w:sz w:val="20"/>
              </w:rPr>
            </w:pPr>
            <w:r w:rsidRPr="00C012E1">
              <w:rPr>
                <w:sz w:val="20"/>
              </w:rPr>
              <w:t>379</w:t>
            </w:r>
          </w:p>
        </w:tc>
        <w:tc>
          <w:tcPr>
            <w:tcW w:w="3372" w:type="dxa"/>
            <w:shd w:val="clear" w:color="auto" w:fill="auto"/>
          </w:tcPr>
          <w:p w:rsidRPr="00C012E1" w:rsidR="00FA19AC" w:rsidP="00331551" w:rsidRDefault="00FA19AC">
            <w:pPr>
              <w:spacing w:before="0" w:after="0"/>
              <w:jc w:val="center"/>
              <w:rPr>
                <w:sz w:val="20"/>
              </w:rPr>
            </w:pPr>
            <w:r w:rsidRPr="00C012E1">
              <w:rPr>
                <w:sz w:val="20"/>
              </w:rPr>
              <w:t>57%</w:t>
            </w:r>
          </w:p>
        </w:tc>
        <w:tc>
          <w:tcPr>
            <w:tcW w:w="0" w:type="auto"/>
            <w:shd w:val="clear" w:color="auto" w:fill="auto"/>
          </w:tcPr>
          <w:p w:rsidRPr="00C012E1" w:rsidR="00FA19AC" w:rsidP="00331551" w:rsidRDefault="00FA19AC">
            <w:pPr>
              <w:spacing w:before="0" w:after="0"/>
              <w:jc w:val="center"/>
              <w:rPr>
                <w:sz w:val="20"/>
              </w:rPr>
            </w:pPr>
            <w:r w:rsidRPr="00C012E1">
              <w:rPr>
                <w:sz w:val="20"/>
              </w:rPr>
              <w:t>43%</w:t>
            </w:r>
          </w:p>
        </w:tc>
      </w:tr>
      <w:tr w:rsidRPr="00331551" w:rsidR="00FA19AC" w:rsidTr="00331551">
        <w:tc>
          <w:tcPr>
            <w:tcW w:w="714" w:type="dxa"/>
            <w:shd w:val="clear" w:color="auto" w:fill="auto"/>
          </w:tcPr>
          <w:p w:rsidRPr="00C012E1" w:rsidR="00FA19AC" w:rsidP="00331551" w:rsidRDefault="00FA19AC">
            <w:pPr>
              <w:spacing w:before="0" w:after="0"/>
              <w:jc w:val="center"/>
              <w:rPr>
                <w:sz w:val="20"/>
              </w:rPr>
            </w:pPr>
            <w:r w:rsidRPr="00C012E1">
              <w:rPr>
                <w:sz w:val="20"/>
              </w:rPr>
              <w:lastRenderedPageBreak/>
              <w:t>2012</w:t>
            </w:r>
          </w:p>
        </w:tc>
        <w:tc>
          <w:tcPr>
            <w:tcW w:w="2693" w:type="dxa"/>
            <w:shd w:val="clear" w:color="auto" w:fill="auto"/>
          </w:tcPr>
          <w:p w:rsidRPr="00C012E1" w:rsidR="00FA19AC" w:rsidP="00331551" w:rsidRDefault="00FA19AC">
            <w:pPr>
              <w:spacing w:before="0" w:after="0"/>
              <w:jc w:val="center"/>
              <w:rPr>
                <w:sz w:val="20"/>
              </w:rPr>
            </w:pPr>
            <w:r w:rsidRPr="00C012E1">
              <w:rPr>
                <w:sz w:val="20"/>
              </w:rPr>
              <w:t>510</w:t>
            </w:r>
          </w:p>
        </w:tc>
        <w:tc>
          <w:tcPr>
            <w:tcW w:w="3372" w:type="dxa"/>
            <w:shd w:val="clear" w:color="auto" w:fill="auto"/>
          </w:tcPr>
          <w:p w:rsidRPr="00C012E1" w:rsidR="00FA19AC" w:rsidP="00331551" w:rsidRDefault="00FA19AC">
            <w:pPr>
              <w:spacing w:before="0" w:after="0"/>
              <w:jc w:val="center"/>
              <w:rPr>
                <w:sz w:val="20"/>
              </w:rPr>
            </w:pPr>
            <w:r w:rsidRPr="00C012E1">
              <w:rPr>
                <w:sz w:val="20"/>
              </w:rPr>
              <w:t>63%</w:t>
            </w:r>
          </w:p>
        </w:tc>
        <w:tc>
          <w:tcPr>
            <w:tcW w:w="0" w:type="auto"/>
            <w:shd w:val="clear" w:color="auto" w:fill="auto"/>
          </w:tcPr>
          <w:p w:rsidRPr="00C012E1" w:rsidR="00FA19AC" w:rsidP="00331551" w:rsidRDefault="00FA19AC">
            <w:pPr>
              <w:spacing w:before="0" w:after="0"/>
              <w:jc w:val="center"/>
              <w:rPr>
                <w:sz w:val="20"/>
              </w:rPr>
            </w:pPr>
            <w:r w:rsidRPr="00C012E1">
              <w:rPr>
                <w:sz w:val="20"/>
              </w:rPr>
              <w:t>37%</w:t>
            </w:r>
          </w:p>
        </w:tc>
      </w:tr>
      <w:tr w:rsidRPr="00331551" w:rsidR="00FA19AC" w:rsidTr="00331551">
        <w:tc>
          <w:tcPr>
            <w:tcW w:w="714" w:type="dxa"/>
            <w:shd w:val="clear" w:color="auto" w:fill="auto"/>
          </w:tcPr>
          <w:p w:rsidRPr="00C012E1" w:rsidR="00FA19AC" w:rsidP="00331551" w:rsidRDefault="00FA19AC">
            <w:pPr>
              <w:spacing w:before="0" w:after="0"/>
              <w:jc w:val="center"/>
              <w:rPr>
                <w:sz w:val="20"/>
              </w:rPr>
            </w:pPr>
            <w:r w:rsidRPr="00C012E1">
              <w:rPr>
                <w:sz w:val="20"/>
              </w:rPr>
              <w:t>2013</w:t>
            </w:r>
          </w:p>
        </w:tc>
        <w:tc>
          <w:tcPr>
            <w:tcW w:w="2693" w:type="dxa"/>
            <w:shd w:val="clear" w:color="auto" w:fill="auto"/>
          </w:tcPr>
          <w:p w:rsidRPr="00C012E1" w:rsidR="00FA19AC" w:rsidP="00331551" w:rsidRDefault="00FA19AC">
            <w:pPr>
              <w:spacing w:before="0" w:after="0"/>
              <w:jc w:val="center"/>
              <w:rPr>
                <w:sz w:val="20"/>
              </w:rPr>
            </w:pPr>
            <w:r w:rsidRPr="00C012E1">
              <w:rPr>
                <w:sz w:val="20"/>
              </w:rPr>
              <w:t>642</w:t>
            </w:r>
          </w:p>
        </w:tc>
        <w:tc>
          <w:tcPr>
            <w:tcW w:w="3372" w:type="dxa"/>
            <w:shd w:val="clear" w:color="auto" w:fill="auto"/>
          </w:tcPr>
          <w:p w:rsidRPr="00C012E1" w:rsidR="00FA19AC" w:rsidP="00331551" w:rsidRDefault="00FA19AC">
            <w:pPr>
              <w:spacing w:before="0" w:after="0"/>
              <w:jc w:val="center"/>
              <w:rPr>
                <w:sz w:val="20"/>
              </w:rPr>
            </w:pPr>
            <w:r w:rsidRPr="00C012E1">
              <w:rPr>
                <w:sz w:val="20"/>
              </w:rPr>
              <w:t>64%</w:t>
            </w:r>
          </w:p>
        </w:tc>
        <w:tc>
          <w:tcPr>
            <w:tcW w:w="0" w:type="auto"/>
            <w:shd w:val="clear" w:color="auto" w:fill="auto"/>
          </w:tcPr>
          <w:p w:rsidRPr="00C012E1" w:rsidR="00FA19AC" w:rsidP="00331551" w:rsidRDefault="00FA19AC">
            <w:pPr>
              <w:spacing w:before="0" w:after="0"/>
              <w:jc w:val="center"/>
              <w:rPr>
                <w:sz w:val="20"/>
              </w:rPr>
            </w:pPr>
            <w:r w:rsidRPr="00C012E1">
              <w:rPr>
                <w:sz w:val="20"/>
              </w:rPr>
              <w:t>36%</w:t>
            </w:r>
          </w:p>
        </w:tc>
      </w:tr>
      <w:tr w:rsidRPr="00331551" w:rsidR="00FA19AC" w:rsidTr="00331551">
        <w:tc>
          <w:tcPr>
            <w:tcW w:w="714" w:type="dxa"/>
            <w:shd w:val="clear" w:color="auto" w:fill="auto"/>
          </w:tcPr>
          <w:p w:rsidRPr="00C012E1" w:rsidR="00FA19AC" w:rsidP="00331551" w:rsidRDefault="00FA19AC">
            <w:pPr>
              <w:spacing w:before="0" w:after="0"/>
              <w:jc w:val="center"/>
              <w:rPr>
                <w:sz w:val="20"/>
              </w:rPr>
            </w:pPr>
            <w:r w:rsidRPr="00C012E1">
              <w:rPr>
                <w:sz w:val="20"/>
              </w:rPr>
              <w:t>2014</w:t>
            </w:r>
          </w:p>
        </w:tc>
        <w:tc>
          <w:tcPr>
            <w:tcW w:w="2693" w:type="dxa"/>
            <w:shd w:val="clear" w:color="auto" w:fill="auto"/>
          </w:tcPr>
          <w:p w:rsidRPr="00C012E1" w:rsidR="00FA19AC" w:rsidP="00331551" w:rsidRDefault="00FA19AC">
            <w:pPr>
              <w:spacing w:before="0" w:after="0"/>
              <w:jc w:val="center"/>
              <w:rPr>
                <w:sz w:val="20"/>
              </w:rPr>
            </w:pPr>
            <w:r w:rsidRPr="00C012E1">
              <w:rPr>
                <w:sz w:val="20"/>
              </w:rPr>
              <w:t>797</w:t>
            </w:r>
          </w:p>
        </w:tc>
        <w:tc>
          <w:tcPr>
            <w:tcW w:w="3372" w:type="dxa"/>
            <w:shd w:val="clear" w:color="auto" w:fill="auto"/>
          </w:tcPr>
          <w:p w:rsidRPr="00C012E1" w:rsidR="00FA19AC" w:rsidP="00331551" w:rsidRDefault="00FA19AC">
            <w:pPr>
              <w:spacing w:before="0" w:after="0"/>
              <w:jc w:val="center"/>
              <w:rPr>
                <w:sz w:val="20"/>
              </w:rPr>
            </w:pPr>
            <w:r w:rsidRPr="00C012E1">
              <w:rPr>
                <w:sz w:val="20"/>
              </w:rPr>
              <w:t>66%</w:t>
            </w:r>
          </w:p>
        </w:tc>
        <w:tc>
          <w:tcPr>
            <w:tcW w:w="0" w:type="auto"/>
            <w:shd w:val="clear" w:color="auto" w:fill="auto"/>
          </w:tcPr>
          <w:p w:rsidRPr="00C012E1" w:rsidR="00FA19AC" w:rsidP="00331551" w:rsidRDefault="00FA19AC">
            <w:pPr>
              <w:spacing w:before="0" w:after="0"/>
              <w:jc w:val="center"/>
              <w:rPr>
                <w:sz w:val="20"/>
              </w:rPr>
            </w:pPr>
            <w:r w:rsidRPr="00C012E1">
              <w:rPr>
                <w:sz w:val="20"/>
              </w:rPr>
              <w:t>34%</w:t>
            </w:r>
          </w:p>
        </w:tc>
      </w:tr>
      <w:tr w:rsidRPr="00331551" w:rsidR="00FA19AC" w:rsidTr="00331551">
        <w:tc>
          <w:tcPr>
            <w:tcW w:w="714" w:type="dxa"/>
            <w:shd w:val="clear" w:color="auto" w:fill="auto"/>
          </w:tcPr>
          <w:p w:rsidRPr="00C012E1" w:rsidR="00FA19AC" w:rsidP="00331551" w:rsidRDefault="00FA19AC">
            <w:pPr>
              <w:spacing w:before="0" w:after="0"/>
              <w:jc w:val="center"/>
              <w:rPr>
                <w:sz w:val="20"/>
              </w:rPr>
            </w:pPr>
            <w:r w:rsidRPr="00C012E1">
              <w:rPr>
                <w:sz w:val="20"/>
              </w:rPr>
              <w:t>2015</w:t>
            </w:r>
          </w:p>
        </w:tc>
        <w:tc>
          <w:tcPr>
            <w:tcW w:w="2693" w:type="dxa"/>
            <w:shd w:val="clear" w:color="auto" w:fill="auto"/>
          </w:tcPr>
          <w:p w:rsidRPr="00C012E1" w:rsidR="00FA19AC" w:rsidP="00331551" w:rsidRDefault="00FA19AC">
            <w:pPr>
              <w:spacing w:before="0" w:after="0"/>
              <w:jc w:val="center"/>
              <w:rPr>
                <w:sz w:val="20"/>
              </w:rPr>
            </w:pPr>
            <w:r w:rsidRPr="00C012E1">
              <w:rPr>
                <w:sz w:val="20"/>
              </w:rPr>
              <w:t>891</w:t>
            </w:r>
          </w:p>
        </w:tc>
        <w:tc>
          <w:tcPr>
            <w:tcW w:w="3372" w:type="dxa"/>
            <w:shd w:val="clear" w:color="auto" w:fill="auto"/>
          </w:tcPr>
          <w:p w:rsidRPr="00C012E1" w:rsidR="00FA19AC" w:rsidP="00331551" w:rsidRDefault="00FA19AC">
            <w:pPr>
              <w:spacing w:before="0" w:after="0"/>
              <w:jc w:val="center"/>
              <w:rPr>
                <w:sz w:val="20"/>
              </w:rPr>
            </w:pPr>
            <w:r w:rsidRPr="00C012E1">
              <w:rPr>
                <w:sz w:val="20"/>
              </w:rPr>
              <w:t>71%</w:t>
            </w:r>
          </w:p>
        </w:tc>
        <w:tc>
          <w:tcPr>
            <w:tcW w:w="0" w:type="auto"/>
            <w:shd w:val="clear" w:color="auto" w:fill="auto"/>
          </w:tcPr>
          <w:p w:rsidRPr="00C012E1" w:rsidR="00FA19AC" w:rsidP="00331551" w:rsidRDefault="00FA19AC">
            <w:pPr>
              <w:spacing w:before="0" w:after="0"/>
              <w:jc w:val="center"/>
              <w:rPr>
                <w:sz w:val="20"/>
              </w:rPr>
            </w:pPr>
            <w:r w:rsidRPr="00C012E1">
              <w:rPr>
                <w:sz w:val="20"/>
              </w:rPr>
              <w:t>29%</w:t>
            </w:r>
          </w:p>
        </w:tc>
      </w:tr>
      <w:tr w:rsidRPr="00331551" w:rsidR="00FA19AC" w:rsidTr="00331551">
        <w:tc>
          <w:tcPr>
            <w:tcW w:w="714" w:type="dxa"/>
            <w:shd w:val="clear" w:color="auto" w:fill="auto"/>
          </w:tcPr>
          <w:p w:rsidRPr="00C012E1" w:rsidR="00FA19AC" w:rsidP="00331551" w:rsidRDefault="00FA19AC">
            <w:pPr>
              <w:spacing w:before="0" w:after="0"/>
              <w:jc w:val="center"/>
              <w:rPr>
                <w:sz w:val="20"/>
              </w:rPr>
            </w:pPr>
            <w:r w:rsidRPr="00C012E1">
              <w:rPr>
                <w:sz w:val="20"/>
              </w:rPr>
              <w:t>2016</w:t>
            </w:r>
          </w:p>
        </w:tc>
        <w:tc>
          <w:tcPr>
            <w:tcW w:w="2693" w:type="dxa"/>
            <w:shd w:val="clear" w:color="auto" w:fill="auto"/>
          </w:tcPr>
          <w:p w:rsidRPr="00C012E1" w:rsidR="00FA19AC" w:rsidP="00331551" w:rsidRDefault="00FA19AC">
            <w:pPr>
              <w:spacing w:before="0" w:after="0"/>
              <w:jc w:val="center"/>
              <w:rPr>
                <w:sz w:val="20"/>
              </w:rPr>
            </w:pPr>
            <w:r w:rsidRPr="00C012E1">
              <w:rPr>
                <w:sz w:val="20"/>
              </w:rPr>
              <w:t>1166</w:t>
            </w:r>
          </w:p>
        </w:tc>
        <w:tc>
          <w:tcPr>
            <w:tcW w:w="3372" w:type="dxa"/>
            <w:shd w:val="clear" w:color="auto" w:fill="auto"/>
          </w:tcPr>
          <w:p w:rsidRPr="00C012E1" w:rsidR="00FA19AC" w:rsidP="00331551" w:rsidRDefault="00FA19AC">
            <w:pPr>
              <w:spacing w:before="0" w:after="0"/>
              <w:jc w:val="center"/>
              <w:rPr>
                <w:sz w:val="20"/>
              </w:rPr>
            </w:pPr>
            <w:r w:rsidRPr="00C012E1">
              <w:rPr>
                <w:sz w:val="20"/>
              </w:rPr>
              <w:t>72%</w:t>
            </w:r>
          </w:p>
        </w:tc>
        <w:tc>
          <w:tcPr>
            <w:tcW w:w="0" w:type="auto"/>
            <w:shd w:val="clear" w:color="auto" w:fill="auto"/>
          </w:tcPr>
          <w:p w:rsidRPr="00C012E1" w:rsidR="00FA19AC" w:rsidP="00331551" w:rsidRDefault="00FA19AC">
            <w:pPr>
              <w:spacing w:before="0" w:after="0"/>
              <w:jc w:val="center"/>
              <w:rPr>
                <w:sz w:val="20"/>
              </w:rPr>
            </w:pPr>
            <w:r w:rsidRPr="00C012E1">
              <w:rPr>
                <w:sz w:val="20"/>
              </w:rPr>
              <w:t>28%</w:t>
            </w:r>
          </w:p>
        </w:tc>
      </w:tr>
      <w:tr w:rsidRPr="00331551" w:rsidR="00FA19AC" w:rsidTr="00331551">
        <w:tc>
          <w:tcPr>
            <w:tcW w:w="714" w:type="dxa"/>
            <w:shd w:val="clear" w:color="auto" w:fill="auto"/>
          </w:tcPr>
          <w:p w:rsidRPr="00C012E1" w:rsidR="00FA19AC" w:rsidP="00331551" w:rsidRDefault="00FA19AC">
            <w:pPr>
              <w:spacing w:before="0" w:after="0"/>
              <w:jc w:val="center"/>
              <w:rPr>
                <w:sz w:val="20"/>
              </w:rPr>
            </w:pPr>
            <w:r w:rsidRPr="00C012E1">
              <w:rPr>
                <w:sz w:val="20"/>
              </w:rPr>
              <w:t>2017</w:t>
            </w:r>
          </w:p>
        </w:tc>
        <w:tc>
          <w:tcPr>
            <w:tcW w:w="2693" w:type="dxa"/>
            <w:shd w:val="clear" w:color="auto" w:fill="auto"/>
          </w:tcPr>
          <w:p w:rsidRPr="00C012E1" w:rsidR="00FA19AC" w:rsidP="00331551" w:rsidRDefault="00FA19AC">
            <w:pPr>
              <w:spacing w:before="0" w:after="0"/>
              <w:jc w:val="center"/>
              <w:rPr>
                <w:sz w:val="20"/>
              </w:rPr>
            </w:pPr>
            <w:r w:rsidRPr="00C012E1">
              <w:rPr>
                <w:sz w:val="20"/>
              </w:rPr>
              <w:t>1326</w:t>
            </w:r>
          </w:p>
        </w:tc>
        <w:tc>
          <w:tcPr>
            <w:tcW w:w="3372" w:type="dxa"/>
            <w:shd w:val="clear" w:color="auto" w:fill="auto"/>
          </w:tcPr>
          <w:p w:rsidRPr="00C012E1" w:rsidR="00FA19AC" w:rsidP="00331551" w:rsidRDefault="00FA19AC">
            <w:pPr>
              <w:spacing w:before="0" w:after="0"/>
              <w:jc w:val="center"/>
              <w:rPr>
                <w:sz w:val="20"/>
              </w:rPr>
            </w:pPr>
            <w:r w:rsidRPr="00C012E1">
              <w:rPr>
                <w:sz w:val="20"/>
              </w:rPr>
              <w:t>66%</w:t>
            </w:r>
          </w:p>
        </w:tc>
        <w:tc>
          <w:tcPr>
            <w:tcW w:w="0" w:type="auto"/>
            <w:shd w:val="clear" w:color="auto" w:fill="auto"/>
          </w:tcPr>
          <w:p w:rsidRPr="00C012E1" w:rsidR="00FA19AC" w:rsidP="00331551" w:rsidRDefault="00FA19AC">
            <w:pPr>
              <w:spacing w:before="0" w:after="0"/>
              <w:jc w:val="center"/>
              <w:rPr>
                <w:sz w:val="20"/>
              </w:rPr>
            </w:pPr>
            <w:r w:rsidRPr="00C012E1">
              <w:rPr>
                <w:sz w:val="20"/>
              </w:rPr>
              <w:t>34%</w:t>
            </w:r>
          </w:p>
        </w:tc>
      </w:tr>
    </w:tbl>
    <w:p w:rsidRPr="00844EB3" w:rsidR="00844EB3" w:rsidP="00844EB3" w:rsidRDefault="00844EB3">
      <w:r w:rsidRPr="00844EB3">
        <w:t>Over this period, there was a substantial increase in the number of women released on bail, from 152 in 2011 to 539 in 2017. There was also an increase in the number of women who were sentenced to a term of imprisonment equal to the time they had already served on remand (and who were thus released immediately from court), from 21 women in 2011 to 161 women in 2017. The number released after being sentenced to a non-custodial order increased from 38 women in 2011 to 119 women in 2017.</w:t>
      </w:r>
    </w:p>
    <w:p w:rsidRPr="00844EB3" w:rsidR="00844EB3" w:rsidP="00844EB3" w:rsidRDefault="00844EB3">
      <w:r w:rsidRPr="00844EB3">
        <w:t>The strong impact of criminal history on bail decisions is evident in the outcomes of women remand episodes. Of women remand prisoners surveyed in 2015 and 2016, those who had previously served a prison sentence were far less likely to be released to bail (31 per cent) than those who had not previously been sentenced to imprisonment (60 per cent).</w:t>
      </w:r>
    </w:p>
    <w:p w:rsidRPr="00844EB3" w:rsidR="00844EB3" w:rsidP="00844EB3" w:rsidRDefault="00844EB3">
      <w:pPr>
        <w:pStyle w:val="Heading2"/>
      </w:pPr>
      <w:r w:rsidRPr="00844EB3">
        <w:t>Compared to women, men spend more time on remand and are more</w:t>
      </w:r>
      <w:r>
        <w:t xml:space="preserve"> </w:t>
      </w:r>
      <w:r w:rsidRPr="00844EB3">
        <w:t>likely to become a sentenced prisoner</w:t>
      </w:r>
    </w:p>
    <w:p w:rsidR="00FA19AC" w:rsidP="00844EB3" w:rsidRDefault="00844EB3">
      <w:r w:rsidRPr="00844EB3">
        <w:t>Women who were released from remand in 2017 were typically in prison for short periods. Almost two-thirds of women were in prison for less than one month and approximately one in four spent between one and three months on remand. Very few women spent more than three months in custody on remand</w:t>
      </w:r>
      <w:r>
        <w:t>.</w:t>
      </w:r>
    </w:p>
    <w:p w:rsidRPr="00844EB3" w:rsidR="00844EB3" w:rsidP="00844EB3" w:rsidRDefault="00844EB3">
      <w:pPr>
        <w:rPr>
          <w:b/>
        </w:rPr>
      </w:pPr>
      <w:r w:rsidRPr="00844EB3">
        <w:rPr>
          <w:b/>
        </w:rPr>
        <w:t>Time on remand prior to release from prison, male and female prisoners, 2017</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firstRow="1" w:lastRow="0" w:firstColumn="1" w:lastColumn="0" w:noHBand="0" w:noVBand="1" w:val="04A0"/>
        <w:tblCaption w:val="Time on remand prior to release from prison, male and female prisoners, 2017"/>
      </w:tblPr>
      <w:tblGrid>
        <w:gridCol w:w="3210"/>
        <w:gridCol w:w="3208"/>
        <w:gridCol w:w="3210"/>
      </w:tblGrid>
      <w:tr w:rsidRPr="00331551" w:rsidR="00784E7A" w:rsidTr="00BD72B8">
        <w:trPr>
          <w:tblHeader/>
        </w:trPr>
        <w:tc>
          <w:tcPr>
            <w:tcW w:w="1667" w:type="pct"/>
            <w:shd w:val="clear" w:color="auto" w:fill="auto"/>
          </w:tcPr>
          <w:p w:rsidRPr="00331551" w:rsidR="00784E7A" w:rsidP="00331551" w:rsidRDefault="00784E7A">
            <w:pPr>
              <w:spacing w:before="0" w:after="0"/>
              <w:rPr>
                <w:b/>
              </w:rPr>
            </w:pPr>
            <w:r w:rsidRPr="00331551">
              <w:rPr>
                <w:b/>
              </w:rPr>
              <w:t>Time on remand</w:t>
            </w:r>
          </w:p>
        </w:tc>
        <w:tc>
          <w:tcPr>
            <w:tcW w:w="1666" w:type="pct"/>
            <w:shd w:val="clear" w:color="auto" w:fill="auto"/>
          </w:tcPr>
          <w:p w:rsidRPr="00331551" w:rsidR="00784E7A" w:rsidP="00331551" w:rsidRDefault="00784E7A">
            <w:pPr>
              <w:spacing w:before="0" w:after="0"/>
              <w:jc w:val="center"/>
              <w:rPr>
                <w:b/>
              </w:rPr>
            </w:pPr>
            <w:r w:rsidRPr="00331551">
              <w:rPr>
                <w:b/>
              </w:rPr>
              <w:t>Female</w:t>
            </w:r>
          </w:p>
        </w:tc>
        <w:tc>
          <w:tcPr>
            <w:tcW w:w="1667" w:type="pct"/>
            <w:shd w:val="clear" w:color="auto" w:fill="auto"/>
          </w:tcPr>
          <w:p w:rsidRPr="00331551" w:rsidR="00784E7A" w:rsidP="00331551" w:rsidRDefault="00784E7A">
            <w:pPr>
              <w:spacing w:before="0" w:after="0"/>
              <w:jc w:val="center"/>
              <w:rPr>
                <w:b/>
              </w:rPr>
            </w:pPr>
            <w:r w:rsidRPr="00331551">
              <w:rPr>
                <w:b/>
              </w:rPr>
              <w:t>Male</w:t>
            </w:r>
          </w:p>
        </w:tc>
      </w:tr>
      <w:tr w:rsidRPr="00331551" w:rsidR="00784E7A" w:rsidTr="00331551">
        <w:tc>
          <w:tcPr>
            <w:tcW w:w="1667" w:type="pct"/>
            <w:shd w:val="clear" w:color="auto" w:fill="auto"/>
          </w:tcPr>
          <w:p w:rsidRPr="00C012E1" w:rsidR="00784E7A" w:rsidP="00331551" w:rsidRDefault="00784E7A">
            <w:pPr>
              <w:pStyle w:val="Pa5"/>
              <w:rPr>
                <w:rFonts w:ascii="Arial" w:hAnsi="Arial" w:cs="Arial"/>
                <w:color w:val="000000"/>
                <w:sz w:val="20"/>
                <w:szCs w:val="20"/>
              </w:rPr>
            </w:pPr>
            <w:r w:rsidRPr="00C012E1">
              <w:rPr>
                <w:rFonts w:ascii="Arial" w:hAnsi="Arial" w:cs="Arial"/>
                <w:color w:val="000000"/>
                <w:sz w:val="20"/>
                <w:szCs w:val="20"/>
              </w:rPr>
              <w:t>Under 1 month</w:t>
            </w:r>
          </w:p>
        </w:tc>
        <w:tc>
          <w:tcPr>
            <w:tcW w:w="1666" w:type="pct"/>
            <w:shd w:val="clear" w:color="auto" w:fill="auto"/>
          </w:tcPr>
          <w:p w:rsidRPr="00C012E1" w:rsidR="00784E7A" w:rsidP="00331551" w:rsidRDefault="00784E7A">
            <w:pPr>
              <w:pStyle w:val="Pa20"/>
              <w:jc w:val="center"/>
              <w:rPr>
                <w:rFonts w:ascii="Arial" w:hAnsi="Arial" w:cs="Arial"/>
                <w:color w:val="000000"/>
                <w:sz w:val="20"/>
                <w:szCs w:val="20"/>
              </w:rPr>
            </w:pPr>
            <w:r w:rsidRPr="00C012E1">
              <w:rPr>
                <w:rFonts w:ascii="Arial" w:hAnsi="Arial" w:cs="Arial"/>
                <w:color w:val="000000"/>
                <w:sz w:val="20"/>
                <w:szCs w:val="20"/>
              </w:rPr>
              <w:t>65%</w:t>
            </w:r>
          </w:p>
        </w:tc>
        <w:tc>
          <w:tcPr>
            <w:tcW w:w="1667" w:type="pct"/>
            <w:shd w:val="clear" w:color="auto" w:fill="auto"/>
          </w:tcPr>
          <w:p w:rsidRPr="00C012E1" w:rsidR="00784E7A" w:rsidP="00331551" w:rsidRDefault="00784E7A">
            <w:pPr>
              <w:pStyle w:val="Pa20"/>
              <w:jc w:val="center"/>
              <w:rPr>
                <w:rFonts w:ascii="Arial" w:hAnsi="Arial" w:cs="Arial"/>
                <w:color w:val="000000"/>
                <w:sz w:val="20"/>
                <w:szCs w:val="20"/>
              </w:rPr>
            </w:pPr>
            <w:r w:rsidRPr="00C012E1">
              <w:rPr>
                <w:rFonts w:ascii="Arial" w:hAnsi="Arial" w:cs="Arial"/>
                <w:color w:val="000000"/>
                <w:sz w:val="20"/>
                <w:szCs w:val="20"/>
              </w:rPr>
              <w:t>44%</w:t>
            </w:r>
          </w:p>
        </w:tc>
      </w:tr>
      <w:tr w:rsidRPr="00331551" w:rsidR="00784E7A" w:rsidTr="00331551">
        <w:tc>
          <w:tcPr>
            <w:tcW w:w="1667" w:type="pct"/>
            <w:shd w:val="clear" w:color="auto" w:fill="auto"/>
          </w:tcPr>
          <w:p w:rsidRPr="00C012E1" w:rsidR="00784E7A" w:rsidP="00331551" w:rsidRDefault="00784E7A">
            <w:pPr>
              <w:pStyle w:val="Pa5"/>
              <w:rPr>
                <w:rFonts w:ascii="Arial" w:hAnsi="Arial" w:cs="Arial"/>
                <w:color w:val="000000"/>
                <w:sz w:val="20"/>
                <w:szCs w:val="20"/>
              </w:rPr>
            </w:pPr>
            <w:r w:rsidRPr="00C012E1">
              <w:rPr>
                <w:rFonts w:ascii="Arial" w:hAnsi="Arial" w:cs="Arial"/>
                <w:color w:val="000000"/>
                <w:sz w:val="20"/>
                <w:szCs w:val="20"/>
              </w:rPr>
              <w:t>1 &lt; 3 months</w:t>
            </w:r>
          </w:p>
        </w:tc>
        <w:tc>
          <w:tcPr>
            <w:tcW w:w="1666" w:type="pct"/>
            <w:shd w:val="clear" w:color="auto" w:fill="auto"/>
          </w:tcPr>
          <w:p w:rsidRPr="00C012E1" w:rsidR="00784E7A" w:rsidP="00331551" w:rsidRDefault="00784E7A">
            <w:pPr>
              <w:pStyle w:val="Pa20"/>
              <w:jc w:val="center"/>
              <w:rPr>
                <w:rFonts w:ascii="Arial" w:hAnsi="Arial" w:cs="Arial"/>
                <w:color w:val="000000"/>
                <w:sz w:val="20"/>
                <w:szCs w:val="20"/>
              </w:rPr>
            </w:pPr>
            <w:r w:rsidRPr="00C012E1">
              <w:rPr>
                <w:rFonts w:ascii="Arial" w:hAnsi="Arial" w:cs="Arial"/>
                <w:color w:val="000000"/>
                <w:sz w:val="20"/>
                <w:szCs w:val="20"/>
              </w:rPr>
              <w:t>24%</w:t>
            </w:r>
          </w:p>
        </w:tc>
        <w:tc>
          <w:tcPr>
            <w:tcW w:w="1667" w:type="pct"/>
            <w:shd w:val="clear" w:color="auto" w:fill="auto"/>
          </w:tcPr>
          <w:p w:rsidRPr="00C012E1" w:rsidR="00784E7A" w:rsidP="00331551" w:rsidRDefault="00784E7A">
            <w:pPr>
              <w:pStyle w:val="Pa20"/>
              <w:jc w:val="center"/>
              <w:rPr>
                <w:rFonts w:ascii="Arial" w:hAnsi="Arial" w:cs="Arial"/>
                <w:color w:val="000000"/>
                <w:sz w:val="20"/>
                <w:szCs w:val="20"/>
              </w:rPr>
            </w:pPr>
            <w:r w:rsidRPr="00C012E1">
              <w:rPr>
                <w:rFonts w:ascii="Arial" w:hAnsi="Arial" w:cs="Arial"/>
                <w:color w:val="000000"/>
                <w:sz w:val="20"/>
                <w:szCs w:val="20"/>
              </w:rPr>
              <w:t>35%</w:t>
            </w:r>
          </w:p>
        </w:tc>
      </w:tr>
      <w:tr w:rsidRPr="00331551" w:rsidR="00784E7A" w:rsidTr="00331551">
        <w:tc>
          <w:tcPr>
            <w:tcW w:w="1667" w:type="pct"/>
            <w:shd w:val="clear" w:color="auto" w:fill="auto"/>
          </w:tcPr>
          <w:p w:rsidRPr="00C012E1" w:rsidR="00784E7A" w:rsidP="00331551" w:rsidRDefault="00784E7A">
            <w:pPr>
              <w:pStyle w:val="Pa5"/>
              <w:rPr>
                <w:rFonts w:ascii="Arial" w:hAnsi="Arial" w:cs="Arial"/>
                <w:color w:val="000000"/>
                <w:sz w:val="20"/>
                <w:szCs w:val="20"/>
              </w:rPr>
            </w:pPr>
            <w:r w:rsidRPr="00C012E1">
              <w:rPr>
                <w:rFonts w:ascii="Arial" w:hAnsi="Arial" w:cs="Arial"/>
                <w:color w:val="000000"/>
                <w:sz w:val="20"/>
                <w:szCs w:val="20"/>
              </w:rPr>
              <w:t>3 &lt; 6 months</w:t>
            </w:r>
          </w:p>
        </w:tc>
        <w:tc>
          <w:tcPr>
            <w:tcW w:w="1666" w:type="pct"/>
            <w:shd w:val="clear" w:color="auto" w:fill="auto"/>
          </w:tcPr>
          <w:p w:rsidRPr="00C012E1" w:rsidR="00784E7A" w:rsidP="00331551" w:rsidRDefault="00784E7A">
            <w:pPr>
              <w:pStyle w:val="Pa20"/>
              <w:jc w:val="center"/>
              <w:rPr>
                <w:rFonts w:ascii="Arial" w:hAnsi="Arial" w:cs="Arial"/>
                <w:color w:val="000000"/>
                <w:sz w:val="20"/>
                <w:szCs w:val="20"/>
              </w:rPr>
            </w:pPr>
            <w:r w:rsidRPr="00C012E1">
              <w:rPr>
                <w:rFonts w:ascii="Arial" w:hAnsi="Arial" w:cs="Arial"/>
                <w:color w:val="000000"/>
                <w:sz w:val="20"/>
                <w:szCs w:val="20"/>
              </w:rPr>
              <w:t>8%</w:t>
            </w:r>
          </w:p>
        </w:tc>
        <w:tc>
          <w:tcPr>
            <w:tcW w:w="1667" w:type="pct"/>
            <w:shd w:val="clear" w:color="auto" w:fill="auto"/>
          </w:tcPr>
          <w:p w:rsidRPr="00C012E1" w:rsidR="00784E7A" w:rsidP="00331551" w:rsidRDefault="00784E7A">
            <w:pPr>
              <w:pStyle w:val="Pa20"/>
              <w:jc w:val="center"/>
              <w:rPr>
                <w:rFonts w:ascii="Arial" w:hAnsi="Arial" w:cs="Arial"/>
                <w:color w:val="000000"/>
                <w:sz w:val="20"/>
                <w:szCs w:val="20"/>
              </w:rPr>
            </w:pPr>
            <w:r w:rsidRPr="00C012E1">
              <w:rPr>
                <w:rFonts w:ascii="Arial" w:hAnsi="Arial" w:cs="Arial"/>
                <w:color w:val="000000"/>
                <w:sz w:val="20"/>
                <w:szCs w:val="20"/>
              </w:rPr>
              <w:t>15%</w:t>
            </w:r>
          </w:p>
        </w:tc>
      </w:tr>
      <w:tr w:rsidRPr="00331551" w:rsidR="00784E7A" w:rsidTr="00331551">
        <w:tc>
          <w:tcPr>
            <w:tcW w:w="1667" w:type="pct"/>
            <w:shd w:val="clear" w:color="auto" w:fill="auto"/>
          </w:tcPr>
          <w:p w:rsidRPr="00C012E1" w:rsidR="00784E7A" w:rsidP="00331551" w:rsidRDefault="00784E7A">
            <w:pPr>
              <w:pStyle w:val="Pa5"/>
              <w:rPr>
                <w:rFonts w:ascii="Arial" w:hAnsi="Arial" w:cs="Arial"/>
                <w:color w:val="000000"/>
                <w:sz w:val="20"/>
                <w:szCs w:val="20"/>
              </w:rPr>
            </w:pPr>
            <w:r w:rsidRPr="00C012E1">
              <w:rPr>
                <w:rFonts w:ascii="Arial" w:hAnsi="Arial" w:cs="Arial"/>
                <w:color w:val="000000"/>
                <w:sz w:val="20"/>
                <w:szCs w:val="20"/>
              </w:rPr>
              <w:t>6 months and over</w:t>
            </w:r>
          </w:p>
        </w:tc>
        <w:tc>
          <w:tcPr>
            <w:tcW w:w="1666" w:type="pct"/>
            <w:shd w:val="clear" w:color="auto" w:fill="auto"/>
          </w:tcPr>
          <w:p w:rsidRPr="00C012E1" w:rsidR="00784E7A" w:rsidP="00331551" w:rsidRDefault="00784E7A">
            <w:pPr>
              <w:pStyle w:val="Pa20"/>
              <w:jc w:val="center"/>
              <w:rPr>
                <w:rFonts w:ascii="Arial" w:hAnsi="Arial" w:cs="Arial"/>
                <w:color w:val="000000"/>
                <w:sz w:val="20"/>
                <w:szCs w:val="20"/>
              </w:rPr>
            </w:pPr>
            <w:r w:rsidRPr="00C012E1">
              <w:rPr>
                <w:rFonts w:ascii="Arial" w:hAnsi="Arial" w:cs="Arial"/>
                <w:color w:val="000000"/>
                <w:sz w:val="20"/>
                <w:szCs w:val="20"/>
              </w:rPr>
              <w:t>3%</w:t>
            </w:r>
          </w:p>
        </w:tc>
        <w:tc>
          <w:tcPr>
            <w:tcW w:w="1667" w:type="pct"/>
            <w:shd w:val="clear" w:color="auto" w:fill="auto"/>
          </w:tcPr>
          <w:p w:rsidRPr="00C012E1" w:rsidR="00784E7A" w:rsidP="00331551" w:rsidRDefault="00784E7A">
            <w:pPr>
              <w:pStyle w:val="Pa20"/>
              <w:jc w:val="center"/>
              <w:rPr>
                <w:rFonts w:ascii="Arial" w:hAnsi="Arial" w:cs="Arial"/>
                <w:color w:val="000000"/>
                <w:sz w:val="20"/>
                <w:szCs w:val="20"/>
              </w:rPr>
            </w:pPr>
            <w:r w:rsidRPr="00C012E1">
              <w:rPr>
                <w:rFonts w:ascii="Arial" w:hAnsi="Arial" w:cs="Arial"/>
                <w:color w:val="000000"/>
                <w:sz w:val="20"/>
                <w:szCs w:val="20"/>
              </w:rPr>
              <w:t>6%</w:t>
            </w:r>
          </w:p>
        </w:tc>
      </w:tr>
    </w:tbl>
    <w:p w:rsidRPr="00E368E6" w:rsidR="00E368E6" w:rsidP="00E368E6" w:rsidRDefault="00E368E6">
      <w:r w:rsidRPr="00E368E6">
        <w:t>While a large proportion of male prisoners were also held on remand for short periods, they</w:t>
      </w:r>
      <w:r>
        <w:t xml:space="preserve"> </w:t>
      </w:r>
      <w:r w:rsidRPr="00E368E6">
        <w:t>were less likely than women to be in custody for less than one month (44 per cent of men</w:t>
      </w:r>
      <w:r>
        <w:t xml:space="preserve"> </w:t>
      </w:r>
      <w:r w:rsidRPr="00E368E6">
        <w:t>released from an unsentenced episode compared with 65 per cent of women) and were more</w:t>
      </w:r>
      <w:r>
        <w:t xml:space="preserve"> </w:t>
      </w:r>
      <w:r w:rsidRPr="00E368E6">
        <w:t>likely to be on remand for three months or more (21 per cent of men compared with 11 per</w:t>
      </w:r>
      <w:r>
        <w:t xml:space="preserve"> </w:t>
      </w:r>
      <w:r w:rsidRPr="00E368E6">
        <w:t>cent of women).</w:t>
      </w:r>
    </w:p>
    <w:p w:rsidRPr="00E368E6" w:rsidR="00E368E6" w:rsidP="00E368E6" w:rsidRDefault="00E368E6">
      <w:r w:rsidRPr="00E368E6">
        <w:t>Men who had a remand episode end in 2017 were more likely to receive a sentence of</w:t>
      </w:r>
      <w:r>
        <w:t xml:space="preserve"> </w:t>
      </w:r>
      <w:r w:rsidRPr="00E368E6">
        <w:t>imprisonment and transition to being a sentenced prisoner (57 per cent) than to be released</w:t>
      </w:r>
      <w:r>
        <w:t xml:space="preserve"> </w:t>
      </w:r>
      <w:r w:rsidRPr="00E368E6">
        <w:t>from prison without having served any time under sentence (43 per cent of men). Men whose</w:t>
      </w:r>
      <w:r>
        <w:t xml:space="preserve"> </w:t>
      </w:r>
      <w:r w:rsidRPr="00E368E6">
        <w:t>remand episode ended were also less likely than women to be released on bail (28 per cent of</w:t>
      </w:r>
      <w:r>
        <w:t xml:space="preserve"> </w:t>
      </w:r>
      <w:r w:rsidRPr="00E368E6">
        <w:t>men compared with 41 per cent of women) and were much less likely to be sentenced to th</w:t>
      </w:r>
      <w:r>
        <w:t xml:space="preserve">e </w:t>
      </w:r>
      <w:r w:rsidRPr="00E368E6">
        <w:t>time they had already served on remand (3 per cent compared with 12 per cent).</w:t>
      </w:r>
    </w:p>
    <w:p w:rsidRPr="00E368E6" w:rsidR="00E368E6" w:rsidP="00E368E6" w:rsidRDefault="00E368E6">
      <w:pPr>
        <w:pStyle w:val="Heading2"/>
      </w:pPr>
      <w:r w:rsidRPr="00E368E6">
        <w:t>FURTHER ANALYSIS OF COURT OUTCOMES FOR WOMEN RELEASED ON BAIL</w:t>
      </w:r>
    </w:p>
    <w:p w:rsidRPr="00E368E6" w:rsidR="00E368E6" w:rsidP="00E368E6" w:rsidRDefault="00E368E6">
      <w:r w:rsidRPr="00E368E6">
        <w:t>Many women released on bail do not go on to receive any further prison time for the</w:t>
      </w:r>
      <w:r>
        <w:t xml:space="preserve"> </w:t>
      </w:r>
      <w:r w:rsidRPr="00E368E6">
        <w:t>charges they were remanded for.</w:t>
      </w:r>
      <w:r>
        <w:t xml:space="preserve"> </w:t>
      </w:r>
      <w:r w:rsidRPr="00E368E6">
        <w:t xml:space="preserve">The court outcomes were tracked for 129 women who were remanded on </w:t>
      </w:r>
      <w:r w:rsidRPr="00E368E6">
        <w:lastRenderedPageBreak/>
        <w:t>charges relating</w:t>
      </w:r>
      <w:r>
        <w:t xml:space="preserve"> </w:t>
      </w:r>
      <w:r w:rsidRPr="00E368E6">
        <w:t>to an offence (or multiple offences) and then released from prison on bail between</w:t>
      </w:r>
      <w:r>
        <w:t xml:space="preserve"> </w:t>
      </w:r>
      <w:r w:rsidRPr="00E368E6">
        <w:t>October and December 2016.</w:t>
      </w:r>
    </w:p>
    <w:p w:rsidRPr="00E368E6" w:rsidR="00E368E6" w:rsidP="00E368E6" w:rsidRDefault="00E368E6">
      <w:pPr>
        <w:numPr>
          <w:ilvl w:val="0"/>
          <w:numId w:val="21"/>
        </w:numPr>
      </w:pPr>
      <w:r w:rsidRPr="00E368E6">
        <w:t>41 per cent were sentenced to a term of imprisonment for at least one of the offences</w:t>
      </w:r>
      <w:r>
        <w:t xml:space="preserve"> </w:t>
      </w:r>
      <w:r w:rsidRPr="00E368E6">
        <w:t>for which they were charged and on remand. Of these women, 59 per cent were</w:t>
      </w:r>
      <w:r>
        <w:t xml:space="preserve"> </w:t>
      </w:r>
      <w:r w:rsidRPr="00E368E6">
        <w:t>sentenced to the time they had already served on remand (i.e. pre-sentence detention)</w:t>
      </w:r>
      <w:r>
        <w:t xml:space="preserve"> </w:t>
      </w:r>
      <w:r w:rsidRPr="00E368E6">
        <w:t>and released at court, while the remaining 41 per cent were sentenced to additional</w:t>
      </w:r>
      <w:r>
        <w:t xml:space="preserve"> </w:t>
      </w:r>
      <w:r w:rsidRPr="00E368E6">
        <w:t>time in prison.</w:t>
      </w:r>
    </w:p>
    <w:p w:rsidR="00E368E6" w:rsidP="00E368E6" w:rsidRDefault="00E368E6">
      <w:pPr>
        <w:numPr>
          <w:ilvl w:val="0"/>
          <w:numId w:val="21"/>
        </w:numPr>
      </w:pPr>
      <w:r w:rsidRPr="00E368E6">
        <w:t>35 per cent received a supervised Community Corrections Order.</w:t>
      </w:r>
      <w:r>
        <w:t xml:space="preserve"> </w:t>
      </w:r>
    </w:p>
    <w:p w:rsidR="00E368E6" w:rsidP="00E368E6" w:rsidRDefault="00E368E6">
      <w:pPr>
        <w:numPr>
          <w:ilvl w:val="0"/>
          <w:numId w:val="21"/>
        </w:numPr>
      </w:pPr>
      <w:r>
        <w:t>1</w:t>
      </w:r>
      <w:r w:rsidRPr="00E368E6">
        <w:t>8 per cent received other outcomes such as a bond, fine or adjourned undertaking.</w:t>
      </w:r>
    </w:p>
    <w:p w:rsidRPr="00E368E6" w:rsidR="00E368E6" w:rsidP="00E368E6" w:rsidRDefault="00E368E6">
      <w:pPr>
        <w:numPr>
          <w:ilvl w:val="0"/>
          <w:numId w:val="21"/>
        </w:numPr>
      </w:pPr>
      <w:r w:rsidRPr="00E368E6">
        <w:t>Six per cent were acquitted of all the charges after having been remanded in custody.</w:t>
      </w:r>
    </w:p>
    <w:p w:rsidRPr="00E368E6" w:rsidR="00312252" w:rsidP="00E368E6" w:rsidRDefault="00E368E6">
      <w:r w:rsidRPr="00E368E6">
        <w:t>Overall, only 17 per cent of women who were initially remanded and then bailed were</w:t>
      </w:r>
      <w:r>
        <w:t xml:space="preserve"> </w:t>
      </w:r>
      <w:r w:rsidRPr="00E368E6">
        <w:t>sentenced to a term of imprisonment longer than the time they had already served</w:t>
      </w:r>
      <w:r>
        <w:t xml:space="preserve"> </w:t>
      </w:r>
      <w:r w:rsidRPr="00E368E6">
        <w:t>on remand.</w:t>
      </w:r>
    </w:p>
    <w:sectPr w:rsidRPr="00E368E6" w:rsidR="00312252" w:rsidSect="00B825F7">
      <w:pgSz w:w="11906" w:h="16838" w:code="9"/>
      <w:pgMar w:top="1134" w:right="1134" w:bottom="1134" w:left="1134" w:header="567" w:footer="567"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13048E" w:rsidP="00C439A5" w:rsidRDefault="0013048E">
      <w:pPr>
        <w:spacing w:before="0" w:after="0"/>
      </w:pPr>
      <w:r>
        <w:separator/>
      </w:r>
    </w:p>
  </w:endnote>
  <w:endnote w:type="continuationSeparator" w:id="0">
    <w:p w:rsidR="0013048E" w:rsidP="00C439A5" w:rsidRDefault="0013048E">
      <w:pPr>
        <w:spacing w:before="0" w:after="0"/>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V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13048E" w:rsidP="00C439A5" w:rsidRDefault="0013048E">
      <w:pPr>
        <w:spacing w:before="0" w:after="0"/>
      </w:pPr>
      <w:r>
        <w:separator/>
      </w:r>
    </w:p>
  </w:footnote>
  <w:footnote w:type="continuationSeparator" w:id="0">
    <w:p w:rsidR="0013048E" w:rsidP="00C439A5" w:rsidRDefault="0013048E">
      <w:pPr>
        <w:spacing w:before="0" w:after="0"/>
      </w:pPr>
      <w:r>
        <w:continuationSeparator/>
      </w:r>
    </w:p>
  </w:footnote>
  <w:footnote w:id="1">
    <w:p w:rsidR="00C439A5" w:rsidP="00C439A5" w:rsidRDefault="00C439A5">
      <w:pPr>
        <w:pStyle w:val="FootnoteText"/>
      </w:pPr>
      <w:r>
        <w:rPr>
          <w:rStyle w:val="FootnoteReference"/>
        </w:rPr>
        <w:footnoteRef/>
      </w:r>
      <w:r>
        <w:t xml:space="preserve"> Self-report surveys are commonly used in criminal justice research and are generally considered to be an acceptable method for gathering information about people’s lives and behaviours. However, given that the women completed their surveys as they were entering prison, they may well have been in a vulnerable state – both mentally and physically – which may have influenced their responses.</w:t>
      </w:r>
    </w:p>
  </w:footnote>
  <w:footnote w:id="2">
    <w:p w:rsidR="00C439A5" w:rsidP="00C439A5" w:rsidRDefault="00C439A5">
      <w:pPr>
        <w:pStyle w:val="FootnoteText"/>
      </w:pPr>
      <w:r>
        <w:rPr>
          <w:rStyle w:val="FootnoteReference"/>
        </w:rPr>
        <w:footnoteRef/>
      </w:r>
      <w:r>
        <w:t xml:space="preserve"> Homelessness Australia (2014). Homelessness in Victoria. Data are based on Australian Bureau of Statistics (2012). Census of Population and Housing: Estimating Homelessness, 2011. Cat. No. 2049.0</w:t>
      </w:r>
    </w:p>
  </w:footnote>
  <w:footnote w:id="3">
    <w:p w:rsidR="00E244A4" w:rsidP="00E07ABE" w:rsidRDefault="00E244A4">
      <w:pPr>
        <w:pStyle w:val="FootnoteText"/>
      </w:pPr>
      <w:r>
        <w:rPr>
          <w:rStyle w:val="FootnoteReference"/>
        </w:rPr>
        <w:footnoteRef/>
      </w:r>
      <w:r>
        <w:t xml:space="preserve"> </w:t>
      </w:r>
      <w:r w:rsidR="00E07ABE">
        <w:t>See, for example, Ruth McCausland (2016). ‘Australia is locking up too many women but the UK offers a blueprint for a radical new approach’, The Conversation, 14 September 2016; Karen Gelb (2010). Gender differences in sentencing outcomes. Melbourne: Sentencing Advisory Council.</w:t>
      </w:r>
    </w:p>
  </w:footnote>
  <w:footnote w:id="4">
    <w:p w:rsidR="00E07ABE" w:rsidRDefault="00E07ABE">
      <w:pPr>
        <w:pStyle w:val="FootnoteText"/>
      </w:pPr>
      <w:r>
        <w:rPr>
          <w:rStyle w:val="FootnoteReference"/>
        </w:rPr>
        <w:footnoteRef/>
      </w:r>
      <w:r>
        <w:t xml:space="preserve"> </w:t>
      </w:r>
      <w:r w:rsidRPr="00E07ABE">
        <w:t>Survey respondents may indicate drug use across multiple drug types, and as such, percentages will not add up to 100 percent</w:t>
      </w:r>
      <w:r>
        <w:t>.</w:t>
      </w:r>
    </w:p>
  </w:footnote>
  <w:footnote w:id="5">
    <w:p w:rsidR="00FA1B64" w:rsidRDefault="00FA1B64">
      <w:pPr>
        <w:pStyle w:val="FootnoteText"/>
      </w:pPr>
      <w:r>
        <w:rPr>
          <w:rStyle w:val="FootnoteReference"/>
        </w:rPr>
        <w:footnoteRef/>
      </w:r>
      <w:r>
        <w:t xml:space="preserve"> </w:t>
      </w:r>
      <w:r w:rsidRPr="00FA1B64">
        <w:t>Data were not available for 9 per cent of women entering remand</w:t>
      </w:r>
      <w:r>
        <w:t>.</w:t>
      </w:r>
    </w:p>
  </w:footnote>
</w:footnote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76187A"/>
    <w:lvl w:ilvl="0">
      <w:start w:val="1"/>
      <w:numFmt w:val="bullet"/>
      <w:pStyle w:val="ListBullet5"/>
      <w:lvlText w:val=""/>
      <w:lvlJc w:val="left"/>
      <w:pPr>
        <w:tabs>
          <w:tab w:val="num" w:pos="1492"/>
        </w:tabs>
        <w:ind w:left="1492" w:hanging="360"/>
      </w:pPr>
      <w:rPr>
        <w:rFonts w:hint="default" w:ascii="Symbol" w:hAnsi="Symbol"/>
      </w:rPr>
    </w:lvl>
  </w:abstractNum>
  <w:abstractNum w:abstractNumId="5">
    <w:nsid w:val="FFFFFF81"/>
    <w:multiLevelType w:val="singleLevel"/>
    <w:tmpl w:val="1AF6AE4C"/>
    <w:lvl w:ilvl="0">
      <w:start w:val="1"/>
      <w:numFmt w:val="bullet"/>
      <w:pStyle w:val="ListBullet4"/>
      <w:lvlText w:val=""/>
      <w:lvlJc w:val="left"/>
      <w:pPr>
        <w:tabs>
          <w:tab w:val="num" w:pos="1209"/>
        </w:tabs>
        <w:ind w:left="1209" w:hanging="360"/>
      </w:pPr>
      <w:rPr>
        <w:rFonts w:hint="default" w:ascii="Symbol" w:hAnsi="Symbol"/>
      </w:rPr>
    </w:lvl>
  </w:abstractNum>
  <w:abstractNum w:abstractNumId="6">
    <w:nsid w:val="FFFFFF82"/>
    <w:multiLevelType w:val="singleLevel"/>
    <w:tmpl w:val="2BBAF9B4"/>
    <w:lvl w:ilvl="0">
      <w:start w:val="1"/>
      <w:numFmt w:val="bullet"/>
      <w:pStyle w:val="ListBullet3"/>
      <w:lvlText w:val=""/>
      <w:lvlJc w:val="left"/>
      <w:pPr>
        <w:tabs>
          <w:tab w:val="num" w:pos="926"/>
        </w:tabs>
        <w:ind w:left="926" w:hanging="360"/>
      </w:pPr>
      <w:rPr>
        <w:rFonts w:hint="default" w:ascii="Symbol" w:hAnsi="Symbol"/>
      </w:rPr>
    </w:lvl>
  </w:abstractNum>
  <w:abstractNum w:abstractNumId="7">
    <w:nsid w:val="FFFFFF83"/>
    <w:multiLevelType w:val="singleLevel"/>
    <w:tmpl w:val="CCDEE150"/>
    <w:lvl w:ilvl="0">
      <w:start w:val="1"/>
      <w:numFmt w:val="bullet"/>
      <w:pStyle w:val="ListBullet2"/>
      <w:lvlText w:val=""/>
      <w:lvlJc w:val="left"/>
      <w:pPr>
        <w:tabs>
          <w:tab w:val="num" w:pos="643"/>
        </w:tabs>
        <w:ind w:left="643" w:hanging="360"/>
      </w:pPr>
      <w:rPr>
        <w:rFonts w:hint="default" w:ascii="Symbol" w:hAnsi="Symbol"/>
      </w:rPr>
    </w:lvl>
  </w:abstractNum>
  <w:abstractNum w:abstractNumId="8">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684098A"/>
    <w:lvl w:ilvl="0">
      <w:start w:val="1"/>
      <w:numFmt w:val="bullet"/>
      <w:pStyle w:val="ListBullet"/>
      <w:lvlText w:val=""/>
      <w:lvlJc w:val="left"/>
      <w:pPr>
        <w:tabs>
          <w:tab w:val="num" w:pos="360"/>
        </w:tabs>
        <w:ind w:left="360" w:hanging="360"/>
      </w:pPr>
      <w:rPr>
        <w:rFonts w:hint="default" w:ascii="Symbol" w:hAnsi="Symbol"/>
      </w:rPr>
    </w:lvl>
  </w:abstractNum>
  <w:abstractNum w:abstractNumId="1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nsid w:val="230C3FAE"/>
    <w:multiLevelType w:val="hybridMultilevel"/>
    <w:tmpl w:val="69AC61A8"/>
    <w:lvl w:ilvl="0" w:tplc="C884E5AC">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27883D35"/>
    <w:multiLevelType w:val="hybridMultilevel"/>
    <w:tmpl w:val="D13A3130"/>
    <w:lvl w:ilvl="0" w:tplc="C884E5AC">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A867DD"/>
    <w:multiLevelType w:val="hybridMultilevel"/>
    <w:tmpl w:val="B9742AEE"/>
    <w:lvl w:ilvl="0" w:tplc="C884E5AC">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3BB306E3"/>
    <w:multiLevelType w:val="hybridMultilevel"/>
    <w:tmpl w:val="DFB84C9A"/>
    <w:lvl w:ilvl="0" w:tplc="C884E5AC">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4B0A9F"/>
    <w:multiLevelType w:val="hybridMultilevel"/>
    <w:tmpl w:val="3822C5F4"/>
    <w:lvl w:ilvl="0" w:tplc="C884E5AC">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8">
    <w:nsid w:val="597A550D"/>
    <w:multiLevelType w:val="hybridMultilevel"/>
    <w:tmpl w:val="9DC05FBE"/>
    <w:lvl w:ilvl="0" w:tplc="C884E5AC">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9">
    <w:nsid w:val="67B71A0A"/>
    <w:multiLevelType w:val="hybridMultilevel"/>
    <w:tmpl w:val="293665B6"/>
    <w:lvl w:ilvl="0" w:tplc="C884E5AC">
      <w:numFmt w:val="bullet"/>
      <w:lvlText w:val="•"/>
      <w:lvlJc w:val="left"/>
      <w:pPr>
        <w:ind w:left="720" w:hanging="360"/>
      </w:pPr>
      <w:rPr>
        <w:rFonts w:hint="default" w:ascii="Arial" w:hAnsi="Arial" w:eastAsia="Calibri" w:cs="Aria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0">
    <w:nsid w:val="692F78B4"/>
    <w:multiLevelType w:val="hybridMultilevel"/>
    <w:tmpl w:val="E1F87C5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13"/>
  </w:num>
  <w:num w:numId="2">
    <w:abstractNumId w:val="1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8"/>
  </w:num>
  <w:num w:numId="16">
    <w:abstractNumId w:val="12"/>
  </w:num>
  <w:num w:numId="17">
    <w:abstractNumId w:val="11"/>
  </w:num>
  <w:num w:numId="18">
    <w:abstractNumId w:val="15"/>
  </w:num>
  <w:num w:numId="19">
    <w:abstractNumId w:val="17"/>
  </w:num>
  <w:num w:numId="20">
    <w:abstractNumId w:val="14"/>
  </w:num>
  <w:num w:numId="21">
    <w:abstractNumId w:val="19"/>
  </w:num>
</w:numbering>
</file>

<file path=word/settings.xml><?xml version="1.0" encoding="utf-8"?>
<w:settings xmlns:w="http://schemas.openxmlformats.org/wordprocessingml/2006/main" xmlns:m="http://schemas.openxmlformats.org/officeDocument/2006/math"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mc:Ignorable="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0B"/>
    <w:rsid w:val="00043B35"/>
    <w:rsid w:val="00127C12"/>
    <w:rsid w:val="0013048E"/>
    <w:rsid w:val="00200901"/>
    <w:rsid w:val="0028666B"/>
    <w:rsid w:val="002C7B4D"/>
    <w:rsid w:val="00312252"/>
    <w:rsid w:val="00331551"/>
    <w:rsid w:val="003C78C7"/>
    <w:rsid w:val="0041273C"/>
    <w:rsid w:val="00451CC4"/>
    <w:rsid w:val="004A22F7"/>
    <w:rsid w:val="004C0941"/>
    <w:rsid w:val="004D5742"/>
    <w:rsid w:val="00546E4E"/>
    <w:rsid w:val="005A5360"/>
    <w:rsid w:val="005F472F"/>
    <w:rsid w:val="00784E7A"/>
    <w:rsid w:val="007B1B01"/>
    <w:rsid w:val="00804176"/>
    <w:rsid w:val="008173DA"/>
    <w:rsid w:val="00844EB3"/>
    <w:rsid w:val="008C1A95"/>
    <w:rsid w:val="00A717B5"/>
    <w:rsid w:val="00B30FC4"/>
    <w:rsid w:val="00B8009E"/>
    <w:rsid w:val="00B825F7"/>
    <w:rsid w:val="00BD72B8"/>
    <w:rsid w:val="00C012E1"/>
    <w:rsid w:val="00C439A5"/>
    <w:rsid w:val="00C511DB"/>
    <w:rsid w:val="00C6750B"/>
    <w:rsid w:val="00CC07A1"/>
    <w:rsid w:val="00D93D51"/>
    <w:rsid w:val="00E07ABE"/>
    <w:rsid w:val="00E11FCC"/>
    <w:rsid w:val="00E230C0"/>
    <w:rsid w:val="00E244A4"/>
    <w:rsid w:val="00E368E6"/>
    <w:rsid w:val="00ED57D5"/>
    <w:rsid w:val="00FA19AC"/>
    <w:rsid w:val="00FA1B64"/>
    <w:rsid w:val="00FC1501"/>
    <w:rsid w:val="00FE0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5:chartTrackingRefBased/>
  <w15:docId w15:val="{3F398677-FEAE-4A6E-A5D3-D81B2C065289}"/>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Arial" w:hAnsi="Arial" w:eastAsia="Calibri" w:cs="Times New Roman"/>
        <w:lang w:val="en-AU" w:eastAsia="en-AU" w:bidi="ar-SA"/>
      </w:rPr>
    </w:rPrDefault>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451CC4"/>
    <w:pPr>
      <w:spacing w:before="240" w:after="240"/>
    </w:pPr>
    <w:rPr>
      <w:rFonts w:cs="Arial"/>
      <w:sz w:val="22"/>
      <w:szCs w:val="22"/>
    </w:rPr>
  </w:style>
  <w:style w:type="paragraph" w:styleId="Heading1">
    <w:name w:val="heading 1"/>
    <w:next w:val="Normal"/>
    <w:link w:val="Heading1Char"/>
    <w:uiPriority w:val="9"/>
    <w:qFormat/>
    <w:rsid w:val="00451CC4"/>
    <w:pPr>
      <w:keepNext/>
      <w:spacing w:before="480" w:after="240"/>
      <w:outlineLvl w:val="0"/>
    </w:pPr>
    <w:rPr>
      <w:rFonts w:eastAsia="Times New Roman" w:cs="Arial"/>
      <w:b/>
      <w:bCs/>
      <w:kern w:val="32"/>
      <w:sz w:val="32"/>
      <w:szCs w:val="32"/>
    </w:rPr>
  </w:style>
  <w:style w:type="paragraph" w:styleId="Heading2">
    <w:name w:val="heading 2"/>
    <w:next w:val="Normal"/>
    <w:link w:val="Heading2Char"/>
    <w:uiPriority w:val="9"/>
    <w:unhideWhenUsed/>
    <w:qFormat/>
    <w:rsid w:val="00451CC4"/>
    <w:pPr>
      <w:keepNext/>
      <w:spacing w:before="480" w:after="240"/>
      <w:outlineLvl w:val="1"/>
    </w:pPr>
    <w:rPr>
      <w:rFonts w:eastAsia="Times New Roman" w:cs="Arial"/>
      <w:b/>
      <w:bCs/>
      <w:iCs/>
      <w:sz w:val="28"/>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link w:val="Heading1"/>
    <w:uiPriority w:val="9"/>
    <w:rsid w:val="00451CC4"/>
    <w:rPr>
      <w:rFonts w:ascii="Arial" w:hAnsi="Arial" w:eastAsia="Times New Roman" w:cs="Arial"/>
      <w:b/>
      <w:bCs/>
      <w:kern w:val="32"/>
      <w:sz w:val="32"/>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styleId="Heading2Char" w:customStyle="true">
    <w:name w:val="Heading 2 Char"/>
    <w:link w:val="Heading2"/>
    <w:uiPriority w:val="9"/>
    <w:rsid w:val="00451CC4"/>
    <w:rPr>
      <w:rFonts w:ascii="Arial" w:hAnsi="Arial" w:eastAsia="Times New Roman" w:cs="Arial"/>
      <w:b/>
      <w:bCs/>
      <w:iCs/>
      <w:sz w:val="28"/>
      <w:szCs w:val="28"/>
    </w:rPr>
  </w:style>
  <w:style w:type="character" w:styleId="Heading3Char" w:customStyle="true">
    <w:name w:val="Heading 3 Char"/>
    <w:link w:val="Heading3"/>
    <w:uiPriority w:val="9"/>
    <w:rsid w:val="00451CC4"/>
    <w:rPr>
      <w:rFonts w:ascii="Arial" w:hAnsi="Arial" w:eastAsia="Times New Roman" w:cs="Arial"/>
      <w:b/>
      <w:bCs/>
      <w:sz w:val="26"/>
      <w:szCs w:val="26"/>
    </w:rPr>
  </w:style>
  <w:style w:type="character" w:styleId="Heading4Char" w:customStyle="true">
    <w:name w:val="Heading 4 Char"/>
    <w:link w:val="Heading4"/>
    <w:uiPriority w:val="9"/>
    <w:rsid w:val="00451CC4"/>
    <w:rPr>
      <w:rFonts w:ascii="Arial" w:hAnsi="Arial" w:eastAsia="Times New Roman" w:cs="Arial"/>
      <w:b/>
      <w:bCs/>
      <w:i/>
      <w:sz w:val="24"/>
      <w:szCs w:val="28"/>
    </w:rPr>
  </w:style>
  <w:style w:type="character" w:styleId="Heading5Char" w:customStyle="true">
    <w:name w:val="Heading 5 Char"/>
    <w:link w:val="Heading5"/>
    <w:uiPriority w:val="9"/>
    <w:semiHidden/>
    <w:rsid w:val="00B825F7"/>
    <w:rPr>
      <w:rFonts w:ascii="Arial" w:hAnsi="Arial" w:eastAsia="Times New Roman" w:cs="Arial"/>
      <w:b/>
      <w:bCs/>
      <w:i/>
      <w:iCs/>
      <w:sz w:val="26"/>
      <w:szCs w:val="26"/>
    </w:rPr>
  </w:style>
  <w:style w:type="character" w:styleId="Heading6Char" w:customStyle="true">
    <w:name w:val="Heading 6 Char"/>
    <w:link w:val="Heading6"/>
    <w:uiPriority w:val="9"/>
    <w:semiHidden/>
    <w:rsid w:val="00B825F7"/>
    <w:rPr>
      <w:rFonts w:ascii="Arial" w:hAnsi="Arial" w:eastAsia="Times New Roman" w:cs="Arial"/>
      <w:b/>
      <w:bCs/>
    </w:rPr>
  </w:style>
  <w:style w:type="character" w:styleId="Heading7Char" w:customStyle="true">
    <w:name w:val="Heading 7 Char"/>
    <w:link w:val="Heading7"/>
    <w:uiPriority w:val="9"/>
    <w:semiHidden/>
    <w:rsid w:val="00B825F7"/>
    <w:rPr>
      <w:rFonts w:ascii="Arial" w:hAnsi="Arial" w:eastAsia="Times New Roman" w:cs="Arial"/>
      <w:sz w:val="24"/>
      <w:szCs w:val="24"/>
    </w:rPr>
  </w:style>
  <w:style w:type="character" w:styleId="Heading8Char" w:customStyle="true">
    <w:name w:val="Heading 8 Char"/>
    <w:link w:val="Heading8"/>
    <w:uiPriority w:val="9"/>
    <w:semiHidden/>
    <w:rsid w:val="00B825F7"/>
    <w:rPr>
      <w:rFonts w:ascii="Arial" w:hAnsi="Arial" w:eastAsia="Times New Roman" w:cs="Arial"/>
      <w:i/>
      <w:iCs/>
      <w:sz w:val="24"/>
      <w:szCs w:val="24"/>
    </w:rPr>
  </w:style>
  <w:style w:type="character" w:styleId="Heading9Char" w:customStyle="true">
    <w:name w:val="Heading 9 Char"/>
    <w:link w:val="Heading9"/>
    <w:uiPriority w:val="9"/>
    <w:semiHidden/>
    <w:rsid w:val="00B825F7"/>
    <w:rPr>
      <w:rFonts w:ascii="Arial" w:hAnsi="Arial" w:eastAsia="Times New Roman"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styleId="BalloonTextChar" w:customStyle="true">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styleId="BodyTextChar" w:customStyle="true">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styleId="BodyText2Char" w:customStyle="true">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styleId="BodyText3Char" w:customStyle="true">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styleId="BodyTextFirstIndentChar" w:customStyle="true">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styleId="BodyTextIndentChar" w:customStyle="true">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styleId="BodyTextFirstIndent2Char" w:customStyle="true">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styleId="BodyTextIndent2Char" w:customStyle="true">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styleId="BodyTextIndent3Char" w:customStyle="true">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styleId="ClosingChar" w:customStyle="true">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color="FFFFFF" w:sz="4" w:space="0"/>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color="ED7D31" w:sz="24" w:space="0"/>
        <w:left w:val="single" w:color="000000" w:sz="4" w:space="0"/>
        <w:bottom w:val="single" w:color="000000" w:sz="4" w:space="0"/>
        <w:right w:val="single" w:color="000000" w:sz="4" w:space="0"/>
        <w:insideH w:val="single" w:color="FFFFFF" w:sz="4" w:space="0"/>
        <w:insideV w:val="single" w:color="FFFFFF" w:sz="4" w:space="0"/>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color="ED7D31" w:sz="24" w:space="0"/>
        <w:left w:val="single" w:color="5B9BD5" w:sz="4" w:space="0"/>
        <w:bottom w:val="single" w:color="5B9BD5" w:sz="4" w:space="0"/>
        <w:right w:val="single" w:color="5B9BD5" w:sz="4" w:space="0"/>
        <w:insideH w:val="single" w:color="FFFFFF" w:sz="4" w:space="0"/>
        <w:insideV w:val="single" w:color="FFFFFF" w:sz="4" w:space="0"/>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color="ED7D31" w:sz="24" w:space="0"/>
        <w:left w:val="single" w:color="ED7D31" w:sz="4" w:space="0"/>
        <w:bottom w:val="single" w:color="ED7D31" w:sz="4" w:space="0"/>
        <w:right w:val="single" w:color="ED7D31" w:sz="4" w:space="0"/>
        <w:insideH w:val="single" w:color="FFFFFF" w:sz="4" w:space="0"/>
        <w:insideV w:val="single" w:color="FFFFFF" w:sz="4" w:space="0"/>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color="FFC000" w:sz="24" w:space="0"/>
        <w:left w:val="single" w:color="A5A5A5" w:sz="4" w:space="0"/>
        <w:bottom w:val="single" w:color="A5A5A5" w:sz="4" w:space="0"/>
        <w:right w:val="single" w:color="A5A5A5" w:sz="4" w:space="0"/>
        <w:insideH w:val="single" w:color="FFFFFF" w:sz="4" w:space="0"/>
        <w:insideV w:val="single" w:color="FFFFFF" w:sz="4" w:space="0"/>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color="A5A5A5" w:sz="24" w:space="0"/>
        <w:left w:val="single" w:color="FFC000" w:sz="4" w:space="0"/>
        <w:bottom w:val="single" w:color="FFC000" w:sz="4" w:space="0"/>
        <w:right w:val="single" w:color="FFC000" w:sz="4" w:space="0"/>
        <w:insideH w:val="single" w:color="FFFFFF" w:sz="4" w:space="0"/>
        <w:insideV w:val="single" w:color="FFFFFF" w:sz="4" w:space="0"/>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color="70AD47" w:sz="24" w:space="0"/>
        <w:left w:val="single" w:color="4472C4" w:sz="4" w:space="0"/>
        <w:bottom w:val="single" w:color="4472C4" w:sz="4" w:space="0"/>
        <w:right w:val="single" w:color="4472C4" w:sz="4" w:space="0"/>
        <w:insideH w:val="single" w:color="FFFFFF" w:sz="4" w:space="0"/>
        <w:insideV w:val="single" w:color="FFFFFF" w:sz="4" w:space="0"/>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color="4472C4" w:sz="24" w:space="0"/>
        <w:left w:val="single" w:color="70AD47" w:sz="4" w:space="0"/>
        <w:bottom w:val="single" w:color="70AD47" w:sz="4" w:space="0"/>
        <w:right w:val="single" w:color="70AD47" w:sz="4" w:space="0"/>
        <w:insideH w:val="single" w:color="FFFFFF" w:sz="4" w:space="0"/>
        <w:insideV w:val="single" w:color="FFFFFF" w:sz="4" w:space="0"/>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styleId="CommentTextChar" w:customStyle="true">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styleId="CommentSubjectChar" w:customStyle="true">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styleId="DateChar" w:customStyle="true">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styleId="DocumentMapChar" w:customStyle="true">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styleId="E-mailSignatureChar" w:customStyle="true">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styleId="EndnoteTextChar" w:customStyle="true">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Space="180" w:wrap="auto" w:hAnchor="page" w:xAlign="center" w:yAlign="bottom" w:hRule="exact"/>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semiHidden/>
    <w:unhideWhenUsed/>
    <w:rsid w:val="00B825F7"/>
    <w:pPr>
      <w:tabs>
        <w:tab w:val="center" w:pos="4513"/>
        <w:tab w:val="right" w:pos="9026"/>
      </w:tabs>
    </w:pPr>
    <w:rPr>
      <w:rFonts w:cs="Arial"/>
      <w:sz w:val="22"/>
      <w:szCs w:val="22"/>
    </w:rPr>
  </w:style>
  <w:style w:type="character" w:styleId="FooterChar" w:customStyle="true">
    <w:name w:val="Footer Char"/>
    <w:link w:val="Footer"/>
    <w:uiPriority w:val="99"/>
    <w:semiHidden/>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styleId="FootnoteTextChar" w:customStyle="true">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color="F7CAAC" w:sz="4" w:space="0"/>
        <w:left w:val="single" w:color="F7CAAC" w:sz="4" w:space="0"/>
        <w:bottom w:val="single" w:color="F7CAAC" w:sz="4" w:space="0"/>
        <w:right w:val="single" w:color="F7CAAC" w:sz="4" w:space="0"/>
        <w:insideH w:val="single" w:color="F7CAAC" w:sz="4" w:space="0"/>
        <w:insideV w:val="single" w:color="F7CAAC" w:sz="4" w:space="0"/>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color="C5E0B3" w:sz="4" w:space="0"/>
        <w:left w:val="single" w:color="C5E0B3" w:sz="4" w:space="0"/>
        <w:bottom w:val="single" w:color="C5E0B3" w:sz="4" w:space="0"/>
        <w:right w:val="single" w:color="C5E0B3" w:sz="4" w:space="0"/>
        <w:insideH w:val="single" w:color="C5E0B3" w:sz="4" w:space="0"/>
        <w:insideV w:val="single" w:color="C5E0B3" w:sz="4" w:space="0"/>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color="666666" w:sz="2" w:space="0"/>
        <w:bottom w:val="single" w:color="666666" w:sz="2" w:space="0"/>
        <w:insideH w:val="single" w:color="666666" w:sz="2" w:space="0"/>
        <w:insideV w:val="single" w:color="666666" w:sz="2" w:space="0"/>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color="9CC2E5" w:sz="2" w:space="0"/>
        <w:bottom w:val="single" w:color="9CC2E5" w:sz="2" w:space="0"/>
        <w:insideH w:val="single" w:color="9CC2E5" w:sz="2" w:space="0"/>
        <w:insideV w:val="single" w:color="9CC2E5" w:sz="2" w:space="0"/>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color="F4B083" w:sz="2" w:space="0"/>
        <w:bottom w:val="single" w:color="F4B083" w:sz="2" w:space="0"/>
        <w:insideH w:val="single" w:color="F4B083" w:sz="2" w:space="0"/>
        <w:insideV w:val="single" w:color="F4B083" w:sz="2" w:space="0"/>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color="C9C9C9" w:sz="2" w:space="0"/>
        <w:bottom w:val="single" w:color="C9C9C9" w:sz="2" w:space="0"/>
        <w:insideH w:val="single" w:color="C9C9C9" w:sz="2" w:space="0"/>
        <w:insideV w:val="single" w:color="C9C9C9" w:sz="2" w:space="0"/>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color="FFD966" w:sz="2" w:space="0"/>
        <w:bottom w:val="single" w:color="FFD966" w:sz="2" w:space="0"/>
        <w:insideH w:val="single" w:color="FFD966" w:sz="2" w:space="0"/>
        <w:insideV w:val="single" w:color="FFD966" w:sz="2" w:space="0"/>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color="8EAADB" w:sz="2" w:space="0"/>
        <w:bottom w:val="single" w:color="8EAADB" w:sz="2" w:space="0"/>
        <w:insideH w:val="single" w:color="8EAADB" w:sz="2" w:space="0"/>
        <w:insideV w:val="single" w:color="8EAADB" w:sz="2" w:space="0"/>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color="A8D08D" w:sz="2" w:space="0"/>
        <w:bottom w:val="single" w:color="A8D08D" w:sz="2" w:space="0"/>
        <w:insideH w:val="single" w:color="A8D08D" w:sz="2" w:space="0"/>
        <w:insideV w:val="single" w:color="A8D08D" w:sz="2" w:space="0"/>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insideV w:val="single" w:color="666666" w:sz="4" w:space="0"/>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insideV w:val="single" w:color="F4B083" w:sz="4" w:space="0"/>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insideV w:val="single" w:color="C9C9C9" w:sz="4" w:space="0"/>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insideV w:val="single" w:color="FFD966" w:sz="4" w:space="0"/>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insideV w:val="single" w:color="A8D08D" w:sz="4" w:space="0"/>
      </w:tblBorders>
      <w:tblCellMar>
        <w:top w:w="0" w:type="dxa"/>
        <w:left w:w="0" w:type="dxa"/>
        <w:bottom w:w="0" w:type="dxa"/>
        <w:right w:w="0" w:type="dxa"/>
      </w:tblCellMar>
    </w:tblPr>
  </w:style>
  <w:style w:type="paragraph" w:styleId="Header">
    <w:name w:val="header"/>
    <w:link w:val="HeaderChar"/>
    <w:uiPriority w:val="99"/>
    <w:semiHidden/>
    <w:unhideWhenUsed/>
    <w:rsid w:val="00B825F7"/>
    <w:pPr>
      <w:tabs>
        <w:tab w:val="center" w:pos="4513"/>
        <w:tab w:val="right" w:pos="9026"/>
      </w:tabs>
    </w:pPr>
    <w:rPr>
      <w:rFonts w:cs="Arial"/>
      <w:sz w:val="22"/>
      <w:szCs w:val="22"/>
    </w:rPr>
  </w:style>
  <w:style w:type="character" w:styleId="HeaderChar" w:customStyle="true">
    <w:name w:val="Header Char"/>
    <w:link w:val="Header"/>
    <w:uiPriority w:val="99"/>
    <w:semiHidden/>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styleId="HTMLAddressChar" w:customStyle="true">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styleId="HTMLPreformattedChar" w:customStyle="true">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color="5B9BD5" w:sz="4" w:space="10"/>
        <w:bottom w:val="single" w:color="5B9BD5" w:sz="4" w:space="10"/>
      </w:pBdr>
      <w:spacing w:before="360" w:after="360"/>
      <w:ind w:left="864" w:right="864"/>
      <w:jc w:val="center"/>
    </w:pPr>
    <w:rPr>
      <w:rFonts w:cs="Arial"/>
      <w:i/>
      <w:iCs/>
      <w:color w:val="006DA5"/>
      <w:sz w:val="22"/>
      <w:szCs w:val="22"/>
    </w:rPr>
  </w:style>
  <w:style w:type="character" w:styleId="IntenseQuoteChar" w:customStyle="true">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color="5B9BD5" w:sz="8" w:space="0"/>
        <w:left w:val="single" w:color="5B9BD5" w:sz="8" w:space="0"/>
        <w:bottom w:val="single" w:color="5B9BD5" w:sz="8" w:space="0"/>
        <w:right w:val="single" w:color="5B9BD5" w:sz="8" w:space="0"/>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color="ED7D31" w:sz="8" w:space="0"/>
        <w:left w:val="single" w:color="ED7D31" w:sz="8" w:space="0"/>
        <w:bottom w:val="single" w:color="ED7D31" w:sz="8" w:space="0"/>
        <w:right w:val="single" w:color="ED7D31" w:sz="8" w:space="0"/>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color="FFC000" w:sz="8" w:space="0"/>
        <w:left w:val="single" w:color="FFC000" w:sz="8" w:space="0"/>
        <w:bottom w:val="single" w:color="FFC000" w:sz="8" w:space="0"/>
        <w:right w:val="single" w:color="FFC000" w:sz="8" w:space="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color="4472C4" w:sz="8" w:space="0"/>
        <w:left w:val="single" w:color="4472C4" w:sz="8" w:space="0"/>
        <w:bottom w:val="single" w:color="4472C4" w:sz="8" w:space="0"/>
        <w:right w:val="single" w:color="4472C4" w:sz="8" w:space="0"/>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color="70AD47" w:sz="8" w:space="0"/>
        <w:left w:val="single" w:color="70AD47" w:sz="8" w:space="0"/>
        <w:bottom w:val="single" w:color="70AD47" w:sz="8" w:space="0"/>
        <w:right w:val="single" w:color="70AD47" w:sz="8" w:space="0"/>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color="000000" w:sz="8" w:space="0"/>
        <w:bottom w:val="single" w:color="000000" w:sz="8" w:space="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color="5B9BD5" w:sz="8" w:space="0"/>
        <w:bottom w:val="single" w:color="5B9BD5" w:sz="8" w:space="0"/>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color="ED7D31" w:sz="8" w:space="0"/>
        <w:bottom w:val="single" w:color="ED7D31" w:sz="8" w:space="0"/>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color="A5A5A5" w:sz="8" w:space="0"/>
        <w:bottom w:val="single" w:color="A5A5A5" w:sz="8" w:space="0"/>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color="FFC000" w:sz="8" w:space="0"/>
        <w:bottom w:val="single" w:color="FFC000" w:sz="8" w:space="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color="4472C4" w:sz="8" w:space="0"/>
        <w:bottom w:val="single" w:color="4472C4" w:sz="8" w:space="0"/>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color="70AD47" w:sz="8" w:space="0"/>
        <w:bottom w:val="single" w:color="70AD47" w:sz="8" w:space="0"/>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semiHidden/>
    <w:unhideWhenUsed/>
    <w:rsid w:val="00B825F7"/>
    <w:pPr>
      <w:numPr>
        <w:numId w:val="4"/>
      </w:numPr>
      <w:contextualSpacing/>
    </w:pPr>
    <w:rPr>
      <w:rFonts w:cs="Arial"/>
      <w:sz w:val="22"/>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semiHidden/>
    <w:unhideWhenUsed/>
    <w:rsid w:val="00B825F7"/>
    <w:pPr>
      <w:numPr>
        <w:numId w:val="9"/>
      </w:numPr>
      <w:contextualSpacing/>
    </w:pPr>
    <w:rPr>
      <w:rFonts w:cs="Arial"/>
      <w:sz w:val="22"/>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color="666666" w:sz="4" w:space="0"/>
        <w:bottom w:val="single" w:color="666666" w:sz="4" w:space="0"/>
        <w:insideH w:val="single" w:color="666666" w:sz="4" w:space="0"/>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color="9CC2E5" w:sz="4" w:space="0"/>
        <w:bottom w:val="single" w:color="9CC2E5" w:sz="4" w:space="0"/>
        <w:insideH w:val="single" w:color="9CC2E5" w:sz="4" w:space="0"/>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color="F4B083" w:sz="4" w:space="0"/>
        <w:bottom w:val="single" w:color="F4B083" w:sz="4" w:space="0"/>
        <w:insideH w:val="single" w:color="F4B083" w:sz="4" w:space="0"/>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color="C9C9C9" w:sz="4" w:space="0"/>
        <w:bottom w:val="single" w:color="C9C9C9" w:sz="4" w:space="0"/>
        <w:insideH w:val="single" w:color="C9C9C9" w:sz="4" w:space="0"/>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color="FFD966" w:sz="4" w:space="0"/>
        <w:bottom w:val="single" w:color="FFD966" w:sz="4" w:space="0"/>
        <w:insideH w:val="single" w:color="FFD966" w:sz="4" w:space="0"/>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color="8EAADB" w:sz="4" w:space="0"/>
        <w:bottom w:val="single" w:color="8EAADB" w:sz="4" w:space="0"/>
        <w:insideH w:val="single" w:color="8EAADB" w:sz="4" w:space="0"/>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color="A8D08D" w:sz="4" w:space="0"/>
        <w:bottom w:val="single" w:color="A8D08D" w:sz="4" w:space="0"/>
        <w:insideH w:val="single" w:color="A8D08D" w:sz="4" w:space="0"/>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color="000000" w:sz="4" w:space="0"/>
        <w:left w:val="single" w:color="000000" w:sz="4" w:space="0"/>
        <w:bottom w:val="single" w:color="000000" w:sz="4" w:space="0"/>
        <w:right w:val="single" w:color="000000" w:sz="4" w:space="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color="5B9BD5" w:sz="4" w:space="0"/>
        <w:left w:val="single" w:color="5B9BD5" w:sz="4" w:space="0"/>
        <w:bottom w:val="single" w:color="5B9BD5" w:sz="4" w:space="0"/>
        <w:right w:val="single" w:color="5B9BD5" w:sz="4" w:space="0"/>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color="ED7D31" w:sz="4" w:space="0"/>
        <w:left w:val="single" w:color="ED7D31" w:sz="4" w:space="0"/>
        <w:bottom w:val="single" w:color="ED7D31" w:sz="4" w:space="0"/>
        <w:right w:val="single" w:color="ED7D31" w:sz="4" w:space="0"/>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color="A5A5A5" w:sz="4" w:space="0"/>
        <w:left w:val="single" w:color="A5A5A5" w:sz="4" w:space="0"/>
        <w:bottom w:val="single" w:color="A5A5A5" w:sz="4" w:space="0"/>
        <w:right w:val="single" w:color="A5A5A5" w:sz="4" w:space="0"/>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color="FFC000" w:sz="4" w:space="0"/>
        <w:left w:val="single" w:color="FFC000" w:sz="4" w:space="0"/>
        <w:bottom w:val="single" w:color="FFC000" w:sz="4" w:space="0"/>
        <w:right w:val="single" w:color="FFC000" w:sz="4" w:space="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color="4472C4" w:sz="4" w:space="0"/>
        <w:left w:val="single" w:color="4472C4" w:sz="4" w:space="0"/>
        <w:bottom w:val="single" w:color="4472C4" w:sz="4" w:space="0"/>
        <w:right w:val="single" w:color="4472C4" w:sz="4" w:space="0"/>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color="70AD47" w:sz="4" w:space="0"/>
        <w:left w:val="single" w:color="70AD47" w:sz="4" w:space="0"/>
        <w:bottom w:val="single" w:color="70AD47" w:sz="4" w:space="0"/>
        <w:right w:val="single" w:color="70AD47" w:sz="4" w:space="0"/>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color="666666" w:sz="4" w:space="0"/>
        <w:left w:val="single" w:color="666666" w:sz="4" w:space="0"/>
        <w:bottom w:val="single" w:color="666666" w:sz="4" w:space="0"/>
        <w:right w:val="single" w:color="666666" w:sz="4" w:space="0"/>
        <w:insideH w:val="single" w:color="666666" w:sz="4" w:space="0"/>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color="9CC2E5" w:sz="4" w:space="0"/>
        <w:left w:val="single" w:color="9CC2E5" w:sz="4" w:space="0"/>
        <w:bottom w:val="single" w:color="9CC2E5" w:sz="4" w:space="0"/>
        <w:right w:val="single" w:color="9CC2E5" w:sz="4" w:space="0"/>
        <w:insideH w:val="single" w:color="9CC2E5" w:sz="4" w:space="0"/>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color="F4B083" w:sz="4" w:space="0"/>
        <w:left w:val="single" w:color="F4B083" w:sz="4" w:space="0"/>
        <w:bottom w:val="single" w:color="F4B083" w:sz="4" w:space="0"/>
        <w:right w:val="single" w:color="F4B083" w:sz="4" w:space="0"/>
        <w:insideH w:val="single" w:color="F4B083" w:sz="4" w:space="0"/>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color="C9C9C9" w:sz="4" w:space="0"/>
        <w:left w:val="single" w:color="C9C9C9" w:sz="4" w:space="0"/>
        <w:bottom w:val="single" w:color="C9C9C9" w:sz="4" w:space="0"/>
        <w:right w:val="single" w:color="C9C9C9" w:sz="4" w:space="0"/>
        <w:insideH w:val="single" w:color="C9C9C9" w:sz="4" w:space="0"/>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color="FFD966" w:sz="4" w:space="0"/>
        <w:left w:val="single" w:color="FFD966" w:sz="4" w:space="0"/>
        <w:bottom w:val="single" w:color="FFD966" w:sz="4" w:space="0"/>
        <w:right w:val="single" w:color="FFD966" w:sz="4" w:space="0"/>
        <w:insideH w:val="single" w:color="FFD966" w:sz="4" w:space="0"/>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color="A8D08D" w:sz="4" w:space="0"/>
        <w:left w:val="single" w:color="A8D08D" w:sz="4" w:space="0"/>
        <w:bottom w:val="single" w:color="A8D08D" w:sz="4" w:space="0"/>
        <w:right w:val="single" w:color="A8D08D" w:sz="4" w:space="0"/>
        <w:insideH w:val="single" w:color="A8D08D" w:sz="4" w:space="0"/>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color="000000" w:sz="24" w:space="0"/>
        <w:left w:val="single" w:color="000000" w:sz="24" w:space="0"/>
        <w:bottom w:val="single" w:color="000000" w:sz="24" w:space="0"/>
        <w:right w:val="single" w:color="000000" w:sz="24" w:space="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color="5B9BD5" w:sz="24" w:space="0"/>
        <w:left w:val="single" w:color="5B9BD5" w:sz="24" w:space="0"/>
        <w:bottom w:val="single" w:color="5B9BD5" w:sz="24" w:space="0"/>
        <w:right w:val="single" w:color="5B9BD5" w:sz="24" w:space="0"/>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color="ED7D31" w:sz="24" w:space="0"/>
        <w:left w:val="single" w:color="ED7D31" w:sz="24" w:space="0"/>
        <w:bottom w:val="single" w:color="ED7D31" w:sz="24" w:space="0"/>
        <w:right w:val="single" w:color="ED7D31" w:sz="24" w:space="0"/>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color="A5A5A5" w:sz="24" w:space="0"/>
        <w:left w:val="single" w:color="A5A5A5" w:sz="24" w:space="0"/>
        <w:bottom w:val="single" w:color="A5A5A5" w:sz="24" w:space="0"/>
        <w:right w:val="single" w:color="A5A5A5" w:sz="24" w:space="0"/>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color="FFC000" w:sz="24" w:space="0"/>
        <w:left w:val="single" w:color="FFC000" w:sz="24" w:space="0"/>
        <w:bottom w:val="single" w:color="FFC000" w:sz="24" w:space="0"/>
        <w:right w:val="single" w:color="FFC000" w:sz="24" w:space="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color="4472C4" w:sz="24" w:space="0"/>
        <w:left w:val="single" w:color="4472C4" w:sz="24" w:space="0"/>
        <w:bottom w:val="single" w:color="4472C4" w:sz="24" w:space="0"/>
        <w:right w:val="single" w:color="4472C4" w:sz="24" w:space="0"/>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color="70AD47" w:sz="24" w:space="0"/>
        <w:left w:val="single" w:color="70AD47" w:sz="24" w:space="0"/>
        <w:bottom w:val="single" w:color="70AD47" w:sz="24" w:space="0"/>
        <w:right w:val="single" w:color="70AD47" w:sz="24" w:space="0"/>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color="000000" w:sz="4" w:space="0"/>
        <w:bottom w:val="single" w:color="000000" w:sz="4" w:space="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color="5B9BD5" w:sz="4" w:space="0"/>
        <w:bottom w:val="single" w:color="5B9BD5" w:sz="4" w:space="0"/>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color="ED7D31" w:sz="4" w:space="0"/>
        <w:bottom w:val="single" w:color="ED7D31" w:sz="4" w:space="0"/>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color="A5A5A5" w:sz="4" w:space="0"/>
        <w:bottom w:val="single" w:color="A5A5A5" w:sz="4" w:space="0"/>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color="FFC000" w:sz="4" w:space="0"/>
        <w:bottom w:val="single" w:color="FFC000" w:sz="4" w:space="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color="4472C4" w:sz="4" w:space="0"/>
        <w:bottom w:val="single" w:color="4472C4" w:sz="4" w:space="0"/>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color="70AD47" w:sz="4" w:space="0"/>
        <w:bottom w:val="single" w:color="70AD47" w:sz="4" w:space="0"/>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styleId="MacroTextChar" w:customStyle="true">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single" w:color="404040" w:sz="8" w:space="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insideV w:val="single" w:color="F19D64" w:sz="8" w:space="0"/>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insideV w:val="single" w:color="BBBBBB" w:sz="8" w:space="0"/>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insideV w:val="single" w:color="FFCF40" w:sz="8" w:space="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insideV w:val="single" w:color="7295D2" w:sz="8" w:space="0"/>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insideV w:val="single" w:color="93C571" w:sz="8" w:space="0"/>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color="ED7D31" w:sz="8" w:space="0"/>
        <w:left w:val="single" w:color="ED7D31" w:sz="8" w:space="0"/>
        <w:bottom w:val="single" w:color="ED7D31" w:sz="8" w:space="0"/>
        <w:right w:val="single" w:color="ED7D31" w:sz="8" w:space="0"/>
        <w:insideH w:val="single" w:color="ED7D31" w:sz="8" w:space="0"/>
        <w:insideV w:val="single" w:color="ED7D31" w:sz="8" w:space="0"/>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color="FFC000" w:sz="8" w:space="0"/>
        <w:left w:val="single" w:color="FFC000" w:sz="8" w:space="0"/>
        <w:bottom w:val="single" w:color="FFC000" w:sz="8" w:space="0"/>
        <w:right w:val="single" w:color="FFC000" w:sz="8" w:space="0"/>
        <w:insideH w:val="single" w:color="FFC000" w:sz="8" w:space="0"/>
        <w:insideV w:val="single" w:color="FFC000" w:sz="8" w:space="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color="70AD47" w:sz="8" w:space="0"/>
        <w:left w:val="single" w:color="70AD47" w:sz="8" w:space="0"/>
        <w:bottom w:val="single" w:color="70AD47" w:sz="8" w:space="0"/>
        <w:right w:val="single" w:color="70AD47" w:sz="8" w:space="0"/>
        <w:insideH w:val="single" w:color="70AD47" w:sz="8" w:space="0"/>
        <w:insideV w:val="single" w:color="70AD47" w:sz="8" w:space="0"/>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color="000000" w:sz="8" w:space="0"/>
        <w:bottom w:val="single" w:color="000000" w:sz="8" w:space="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color="5B9BD5" w:sz="8" w:space="0"/>
        <w:bottom w:val="single" w:color="5B9BD5" w:sz="8" w:space="0"/>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color="ED7D31" w:sz="8" w:space="0"/>
        <w:bottom w:val="single" w:color="ED7D31" w:sz="8" w:space="0"/>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color="A5A5A5" w:sz="8" w:space="0"/>
        <w:bottom w:val="single" w:color="A5A5A5" w:sz="8" w:space="0"/>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color="FFC000" w:sz="8" w:space="0"/>
        <w:bottom w:val="single" w:color="FFC000" w:sz="8" w:space="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color="4472C4" w:sz="8" w:space="0"/>
        <w:bottom w:val="single" w:color="4472C4" w:sz="8" w:space="0"/>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color="70AD47" w:sz="8" w:space="0"/>
        <w:bottom w:val="single" w:color="70AD47" w:sz="8" w:space="0"/>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color="000000" w:sz="8" w:space="0"/>
        <w:left w:val="single" w:color="000000" w:sz="8" w:space="0"/>
        <w:bottom w:val="single" w:color="000000" w:sz="8" w:space="0"/>
        <w:right w:val="single" w:color="000000" w:sz="8" w:space="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color="5B9BD5" w:sz="8" w:space="0"/>
        <w:left w:val="single" w:color="5B9BD5" w:sz="8" w:space="0"/>
        <w:bottom w:val="single" w:color="5B9BD5" w:sz="8" w:space="0"/>
        <w:right w:val="single" w:color="5B9BD5" w:sz="8" w:space="0"/>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color="ED7D31" w:sz="8" w:space="0"/>
        <w:left w:val="single" w:color="ED7D31" w:sz="8" w:space="0"/>
        <w:bottom w:val="single" w:color="ED7D31" w:sz="8" w:space="0"/>
        <w:right w:val="single" w:color="ED7D31" w:sz="8" w:space="0"/>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color="A5A5A5" w:sz="8" w:space="0"/>
        <w:left w:val="single" w:color="A5A5A5" w:sz="8" w:space="0"/>
        <w:bottom w:val="single" w:color="A5A5A5" w:sz="8" w:space="0"/>
        <w:right w:val="single" w:color="A5A5A5" w:sz="8" w:space="0"/>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color="FFC000" w:sz="8" w:space="0"/>
        <w:left w:val="single" w:color="FFC000" w:sz="8" w:space="0"/>
        <w:bottom w:val="single" w:color="FFC000" w:sz="8" w:space="0"/>
        <w:right w:val="single" w:color="FFC000" w:sz="8" w:space="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color="4472C4" w:sz="8" w:space="0"/>
        <w:left w:val="single" w:color="4472C4" w:sz="8" w:space="0"/>
        <w:bottom w:val="single" w:color="4472C4" w:sz="8" w:space="0"/>
        <w:right w:val="single" w:color="4472C4" w:sz="8" w:space="0"/>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color="70AD47" w:sz="8" w:space="0"/>
        <w:left w:val="single" w:color="70AD47" w:sz="8" w:space="0"/>
        <w:bottom w:val="single" w:color="70AD47" w:sz="8" w:space="0"/>
        <w:right w:val="single" w:color="70AD47" w:sz="8" w:space="0"/>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color="84B3DF" w:sz="8" w:space="0"/>
        <w:left w:val="single" w:color="84B3DF" w:sz="8" w:space="0"/>
        <w:bottom w:val="single" w:color="84B3DF" w:sz="8" w:space="0"/>
        <w:right w:val="single" w:color="84B3DF" w:sz="8" w:space="0"/>
        <w:insideH w:val="single" w:color="84B3DF" w:sz="8" w:space="0"/>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color="BBBBBB" w:sz="8" w:space="0"/>
        <w:left w:val="single" w:color="BBBBBB" w:sz="8" w:space="0"/>
        <w:bottom w:val="single" w:color="BBBBBB" w:sz="8" w:space="0"/>
        <w:right w:val="single" w:color="BBBBBB" w:sz="8" w:space="0"/>
        <w:insideH w:val="single" w:color="BBBBBB" w:sz="8" w:space="0"/>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color="FFCF40" w:sz="8" w:space="0"/>
        <w:left w:val="single" w:color="FFCF40" w:sz="8" w:space="0"/>
        <w:bottom w:val="single" w:color="FFCF40" w:sz="8" w:space="0"/>
        <w:right w:val="single" w:color="FFCF40" w:sz="8" w:space="0"/>
        <w:insideH w:val="single" w:color="FFCF40" w:sz="8" w:space="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color="7295D2" w:sz="8" w:space="0"/>
        <w:left w:val="single" w:color="7295D2" w:sz="8" w:space="0"/>
        <w:bottom w:val="single" w:color="7295D2" w:sz="8" w:space="0"/>
        <w:right w:val="single" w:color="7295D2" w:sz="8" w:space="0"/>
        <w:insideH w:val="single" w:color="7295D2" w:sz="8" w:space="0"/>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color="93C571" w:sz="8" w:space="0"/>
        <w:left w:val="single" w:color="93C571" w:sz="8" w:space="0"/>
        <w:bottom w:val="single" w:color="93C571" w:sz="8" w:space="0"/>
        <w:right w:val="single" w:color="93C571" w:sz="8" w:space="0"/>
        <w:insideH w:val="single" w:color="93C571" w:sz="8" w:space="0"/>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color="auto" w:sz="18" w:space="0"/>
        <w:bottom w:val="single" w:color="auto" w:sz="18" w:space="0"/>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color="auto" w:sz="6" w:space="1"/>
        <w:left w:val="single" w:color="auto" w:sz="6" w:space="1"/>
        <w:bottom w:val="single" w:color="auto" w:sz="6" w:space="1"/>
        <w:right w:val="single" w:color="auto" w:sz="6" w:space="1"/>
      </w:pBdr>
      <w:shd w:val="pct20" w:color="auto" w:fill="auto"/>
      <w:ind w:left="1134" w:hanging="1134"/>
    </w:pPr>
    <w:rPr>
      <w:rFonts w:eastAsia="Times New Roman" w:cs="Arial"/>
      <w:sz w:val="24"/>
      <w:szCs w:val="24"/>
    </w:rPr>
  </w:style>
  <w:style w:type="character" w:styleId="MessageHeaderChar" w:customStyle="true">
    <w:name w:val="Message Header Char"/>
    <w:link w:val="MessageHeader"/>
    <w:uiPriority w:val="99"/>
    <w:semiHidden/>
    <w:rsid w:val="00B825F7"/>
    <w:rPr>
      <w:rFonts w:ascii="Arial" w:hAnsi="Arial" w:eastAsia="Times New Roman" w:cs="Arial"/>
      <w:sz w:val="24"/>
      <w:szCs w:val="24"/>
      <w:shd w:val="pct20" w:color="auto" w:fill="auto"/>
    </w:rPr>
  </w:style>
  <w:style w:type="paragraph" w:styleId="NoSpacing">
    <w:name w:val="No Spacing"/>
    <w:uiPriority w:val="1"/>
    <w:qFormat/>
    <w:rsid w:val="00451CC4"/>
    <w:rPr>
      <w:rFonts w:cs="Arial"/>
      <w:sz w:val="22"/>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styleId="NoteHeadingChar" w:customStyle="true">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color="7F7F7F" w:sz="4" w:space="0"/>
        <w:bottom w:val="single" w:color="7F7F7F" w:sz="4" w:space="0"/>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styleId="PlainTextChar" w:customStyle="true">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styleId="QuoteChar" w:customStyle="true">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styleId="SalutationChar" w:customStyle="true">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styleId="SignatureChar" w:customStyle="true">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styleId="SubtitleChar" w:customStyle="true">
    <w:name w:val="Subtitle Char"/>
    <w:link w:val="Subtitle"/>
    <w:uiPriority w:val="11"/>
    <w:rsid w:val="00B825F7"/>
    <w:rPr>
      <w:rFonts w:ascii="Arial" w:hAnsi="Arial" w:eastAsia="Times New Roman"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color="000000" w:sz="12" w:space="0"/>
        <w:bottom w:val="single" w:color="000000" w:sz="12" w:space="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color="000000" w:sz="12" w:space="0"/>
        <w:bottom w:val="single" w:color="000000" w:sz="12" w:space="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color="000000" w:sz="12" w:space="0"/>
        <w:left w:val="single" w:color="000000" w:sz="6" w:space="0"/>
        <w:bottom w:val="single" w:color="000000" w:sz="12" w:space="0"/>
        <w:right w:val="single" w:color="000000" w:sz="6" w:space="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color="000000" w:sz="12" w:space="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color="FFFFFF" w:sz="18" w:space="0"/>
        <w:insideV w:val="single" w:color="FFFFFF" w:sz="18" w:space="0"/>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color="008080" w:sz="12" w:space="0"/>
        <w:left w:val="single" w:color="008080" w:sz="6" w:space="0"/>
        <w:bottom w:val="single" w:color="008080" w:sz="12" w:space="0"/>
        <w:right w:val="single" w:color="008080" w:sz="6" w:space="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color="808080" w:sz="12" w:space="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color="000000" w:sz="12" w:space="0"/>
        <w:bottom w:val="single" w:color="000000" w:sz="12" w:space="0"/>
        <w:insideH w:val="single" w:color="000000" w:sz="6" w:space="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color="000000" w:sz="6" w:space="0"/>
        <w:left w:val="single" w:color="000000" w:sz="6" w:space="0"/>
        <w:bottom w:val="single" w:color="000000" w:sz="6" w:space="0"/>
        <w:right w:val="single" w:color="000000" w:sz="6" w:space="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color="008000" w:sz="12" w:space="0"/>
        <w:bottom w:val="single" w:color="008000" w:sz="12" w:space="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color="000000" w:sz="12" w:space="0"/>
        <w:left w:val="single" w:color="000000" w:sz="12" w:space="0"/>
        <w:bottom w:val="single" w:color="000000" w:sz="12" w:space="0"/>
        <w:right w:val="single" w:color="000000" w:sz="12" w:space="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color="000000" w:sz="6" w:space="0"/>
        <w:right w:val="single" w:color="000000" w:sz="6" w:space="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styleId="TitleChar" w:customStyle="true">
    <w:name w:val="Title Char"/>
    <w:link w:val="Title"/>
    <w:uiPriority w:val="10"/>
    <w:rsid w:val="00B825F7"/>
    <w:rPr>
      <w:rFonts w:ascii="Arial" w:hAnsi="Arial" w:eastAsia="Times New Roman"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semiHidden/>
    <w:unhideWhenUsed/>
    <w:rsid w:val="00B825F7"/>
    <w:rPr>
      <w:rFonts w:cs="Arial"/>
      <w:sz w:val="22"/>
      <w:szCs w:val="22"/>
    </w:rPr>
  </w:style>
  <w:style w:type="paragraph" w:styleId="TOC2">
    <w:name w:val="toc 2"/>
    <w:next w:val="Normal"/>
    <w:autoRedefine/>
    <w:uiPriority w:val="39"/>
    <w:semiHidden/>
    <w:unhideWhenUsed/>
    <w:rsid w:val="00B825F7"/>
    <w:pPr>
      <w:ind w:left="220"/>
    </w:pPr>
    <w:rPr>
      <w:rFonts w:cs="Arial"/>
      <w:sz w:val="22"/>
      <w:szCs w:val="22"/>
    </w:rPr>
  </w:style>
  <w:style w:type="paragraph" w:styleId="TOC3">
    <w:name w:val="toc 3"/>
    <w:next w:val="Normal"/>
    <w:autoRedefine/>
    <w:uiPriority w:val="39"/>
    <w:semiHidden/>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semiHidden/>
    <w:unhideWhenUsed/>
    <w:qFormat/>
    <w:rsid w:val="00B825F7"/>
    <w:rPr>
      <w:rFonts w:eastAsia="Times New Roman" w:cs="Arial"/>
      <w:b/>
      <w:bCs/>
      <w:kern w:val="32"/>
      <w:sz w:val="32"/>
      <w:szCs w:val="32"/>
    </w:rPr>
  </w:style>
  <w:style w:type="paragraph" w:styleId="Pa5" w:customStyle="true">
    <w:name w:val="Pa5"/>
    <w:basedOn w:val="Normal"/>
    <w:next w:val="Normal"/>
    <w:uiPriority w:val="99"/>
    <w:rsid w:val="00127C12"/>
    <w:pPr>
      <w:autoSpaceDE w:val="false"/>
      <w:autoSpaceDN w:val="false"/>
      <w:adjustRightInd w:val="false"/>
      <w:spacing w:before="0" w:after="0" w:line="201" w:lineRule="atLeast"/>
    </w:pPr>
    <w:rPr>
      <w:rFonts w:ascii="VIC Light" w:hAnsi="VIC Light" w:cs="Times New Roman"/>
      <w:sz w:val="24"/>
      <w:szCs w:val="24"/>
    </w:rPr>
  </w:style>
  <w:style w:type="paragraph" w:styleId="Pa20" w:customStyle="true">
    <w:name w:val="Pa20"/>
    <w:basedOn w:val="Normal"/>
    <w:next w:val="Normal"/>
    <w:uiPriority w:val="99"/>
    <w:rsid w:val="00127C12"/>
    <w:pPr>
      <w:autoSpaceDE w:val="false"/>
      <w:autoSpaceDN w:val="false"/>
      <w:adjustRightInd w:val="false"/>
      <w:spacing w:before="0" w:after="0" w:line="201" w:lineRule="atLeast"/>
    </w:pPr>
    <w:rPr>
      <w:rFonts w:ascii="VIC Light" w:hAnsi="VIC Light" w:cs="Times New Roman"/>
      <w:sz w:val="24"/>
      <w:szCs w:val="24"/>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fontTable.xml" Type="http://schemas.openxmlformats.org/officeDocument/2006/relationships/fontTable"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webSettings.xml" Type="http://schemas.openxmlformats.org/officeDocument/2006/relationships/webSettings" Id="rId5"/>
   <Relationship Target="settings.xml" Type="http://schemas.openxmlformats.org/officeDocument/2006/relationships/settings" Id="rId4"/>
   <Relationship Target="theme/theme1.xml" Type="http://schemas.openxmlformats.org/officeDocument/2006/relationships/theme" Id="rId9"/>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F7A41946-5A03-4B89-98A2-583AA6F5932D}">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Victorian Department of Justice</properties:Company>
  <properties:Pages>11</properties:Pages>
  <properties:Words>3384</properties:Words>
  <properties:Characters>19291</properties:Characters>
  <properties:Lines>160</properties:Lines>
  <properties:Paragraphs>45</properties:Paragraphs>
  <properties:TotalTime>22</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22630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2018-10-05T00:13:00Z</dcterms:created>
  <dc:creator/>
  <dc:description/>
  <cp:keywords/>
  <cp:lastModifiedBy/>
  <dcterms:modified xmlns:xsi="http://www.w3.org/2001/XMLSchema-instance" xsi:type="dcterms:W3CDTF">2019-01-23T23:26:00Z</dcterms:modified>
  <cp:revision>9</cp:revision>
  <dc:subject/>
  <dc:title/>
</cp:coreProperties>
</file>